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hint="eastAsia" w:cs="宋体"/>
          <w:b/>
          <w:bCs/>
          <w:i w:val="0"/>
          <w:caps w:val="0"/>
          <w:spacing w:val="-9"/>
          <w:w w:val="100"/>
          <w:kern w:val="0"/>
          <w:sz w:val="28"/>
          <w:szCs w:val="28"/>
          <w:lang w:val="zh-CN" w:bidi="zh-CN"/>
        </w:rPr>
      </w:pPr>
      <w:r>
        <w:rPr>
          <w:rFonts w:hint="eastAsia" w:cs="宋体"/>
          <w:b/>
          <w:bCs/>
          <w:i w:val="0"/>
          <w:caps w:val="0"/>
          <w:spacing w:val="-9"/>
          <w:w w:val="100"/>
          <w:kern w:val="0"/>
          <w:sz w:val="28"/>
          <w:szCs w:val="28"/>
          <w:lang w:val="zh-CN" w:bidi="zh-CN"/>
        </w:rPr>
        <w:t>附件二：招标参数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sz w:val="24"/>
          <w:szCs w:val="24"/>
        </w:rPr>
        <w:t xml:space="preserve">、产品采用国际标准，通过国际标准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ISO9001</w:t>
      </w:r>
      <w:r>
        <w:rPr>
          <w:rFonts w:ascii="宋体" w:hAnsi="宋体" w:eastAsia="宋体" w:cs="宋体"/>
          <w:b w:val="0"/>
          <w:i w:val="0"/>
          <w:caps w:val="0"/>
          <w:spacing w:val="-15"/>
          <w:w w:val="100"/>
          <w:sz w:val="24"/>
          <w:szCs w:val="24"/>
        </w:rPr>
        <w:t>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ISO13485</w:t>
      </w:r>
      <w:r>
        <w:rPr>
          <w:rFonts w:ascii="宋体" w:hAnsi="宋体" w:eastAsia="宋体" w:cs="宋体"/>
          <w:b w:val="0"/>
          <w:i w:val="0"/>
          <w:caps w:val="0"/>
          <w:spacing w:val="-13"/>
          <w:w w:val="100"/>
          <w:sz w:val="24"/>
          <w:szCs w:val="24"/>
        </w:rPr>
        <w:t xml:space="preserve">认证及 </w:t>
      </w:r>
      <w:r>
        <w:rPr>
          <w:rFonts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</w:rPr>
        <w:t>CE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认证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提供相关认证证书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)</w:t>
      </w:r>
    </w:p>
    <w:p>
      <w:pPr>
        <w:pStyle w:val="4"/>
        <w:snapToGrid/>
        <w:spacing w:before="0" w:beforeAutospacing="0" w:after="0" w:afterAutospacing="0" w:line="360" w:lineRule="auto"/>
        <w:ind w:left="113" w:right="76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2、横臂主体材料为 6 系列高强度铝合金，外表采用静电喷涂工艺，美观、抗菌、耐腐蚀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；（提供抗菌粉检测报告）</w:t>
      </w:r>
    </w:p>
    <w:p>
      <w:pPr>
        <w:pStyle w:val="4"/>
        <w:snapToGrid/>
        <w:spacing w:before="15" w:beforeAutospacing="0" w:after="0" w:afterAutospacing="0" w:line="360" w:lineRule="auto"/>
        <w:ind w:left="113" w:right="-29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3、吊塔内部采用气电分离式设计，且电源在气源上方，避免氧气下沉会经过电源位置，保障使用安全：吊塔箱体底端必须有氧气泻流孔设计， 防止出现塔内氧气蓄积并与电源线造成火灾意外；</w:t>
      </w:r>
    </w:p>
    <w:p>
      <w:pPr>
        <w:pStyle w:val="4"/>
        <w:snapToGrid/>
        <w:spacing w:before="17" w:beforeAutospacing="0" w:after="0" w:afterAutospacing="0" w:line="360" w:lineRule="auto"/>
        <w:ind w:left="113" w:right="2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4、吊塔防护级别达到 IP20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(提供省级或国家级医疗器械检验所出具的检验报告)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5、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横梁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长度：2500-3100mm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，具体长度可根据实际情况定制；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6、吊桥内部的每一路氧化性医用气体管道系统的泄漏量不得超过0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.296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m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L/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min乘以连接到此管道的气体终端数目。（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提供省级或国家级医疗器械检验所出具的检验报告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7、气体终端符合ENISO 9170-1标准，医用气体软管符合ENISO 5359标准（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提供省级或国家级医疗器械检验所出具的检验报告）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8、配置刹车制动装置，待机时设备无飘移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9、配置后续可以升级，附件可以按照用户要求灵活选配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、最大工作承重≥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120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kg；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、医用气体正压柔性管内部直径应≥5mm，负压吸引的管道内部直径应≥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mm（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提供省级或国家级医疗器械检验所出具的检验报告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0" w:beforeAutospacing="0" w:after="0" w:afterAutospacing="0" w:line="360" w:lineRule="auto"/>
        <w:ind w:left="113" w:right="74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12、所有电源线路及气源管路必须在塔体内不能外露，保证吊塔在移</w:t>
      </w:r>
      <w:r>
        <w:rPr>
          <w:rFonts w:ascii="宋体" w:hAnsi="宋体" w:eastAsia="宋体" w:cs="宋体"/>
          <w:b w:val="0"/>
          <w:i w:val="0"/>
          <w:caps w:val="0"/>
          <w:spacing w:val="-14"/>
          <w:w w:val="100"/>
          <w:sz w:val="24"/>
          <w:szCs w:val="24"/>
        </w:rPr>
        <w:t xml:space="preserve">动过程中，不会因位置的改变导致线路脱落的意外发生，吊塔通过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ROHS认证，（</w:t>
      </w:r>
      <w:r>
        <w:rPr>
          <w:rFonts w:ascii="宋体" w:hAnsi="宋体" w:eastAsia="宋体" w:cs="宋体"/>
          <w:b w:val="0"/>
          <w:i w:val="0"/>
          <w:caps w:val="0"/>
          <w:spacing w:val="-16"/>
          <w:w w:val="100"/>
          <w:sz w:val="24"/>
          <w:szCs w:val="24"/>
        </w:rPr>
        <w:t xml:space="preserve">提供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ROHS认证文件）</w:t>
      </w:r>
    </w:p>
    <w:p>
      <w:pPr>
        <w:pStyle w:val="4"/>
        <w:snapToGrid/>
        <w:spacing w:before="0" w:beforeAutospacing="0" w:after="0" w:afterAutospacing="0" w:line="360" w:lineRule="auto"/>
        <w:ind w:left="113" w:right="74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、气体终端接口有通、断、拔三种状态，气体出口均要以国际标准色予以区别，并有防止不同气体误插的装置或结构，能带气维修。</w:t>
      </w:r>
    </w:p>
    <w:p>
      <w:pPr>
        <w:pStyle w:val="4"/>
        <w:snapToGrid/>
        <w:spacing w:before="16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  <w:t>湿区</w:t>
      </w: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配置：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1、旋转角度：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≥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340°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吊柱式，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功能箱体长度≥800 mm</w:t>
      </w:r>
    </w:p>
    <w:p>
      <w:pPr>
        <w:pStyle w:val="4"/>
        <w:snapToGrid/>
        <w:spacing w:before="1" w:beforeAutospacing="0" w:after="0" w:afterAutospacing="0" w:line="360" w:lineRule="auto"/>
        <w:ind w:left="113" w:right="62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3、仪器托盘：高度可自调。托盘 2 个，其中 1 个为带抽屉托盘，带双边侧导轨</w:t>
      </w:r>
    </w:p>
    <w:p>
      <w:pPr>
        <w:pStyle w:val="4"/>
        <w:snapToGrid/>
        <w:spacing w:before="16" w:beforeAutospacing="0" w:after="0" w:afterAutospacing="0" w:line="360" w:lineRule="auto"/>
        <w:ind w:left="113" w:right="36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4、托盘承载重量≥45Kg，抽屉承载重量≥8Kg。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（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提供省级或国家级医疗器械检验所出具的检验报告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5、托盘为一体成型边角带防撞设计，抽屉为自动吸呐式。</w:t>
      </w:r>
    </w:p>
    <w:p>
      <w:pPr>
        <w:pStyle w:val="4"/>
        <w:snapToGrid/>
        <w:spacing w:before="0" w:beforeAutospacing="0" w:after="0" w:afterAutospacing="0" w:line="360" w:lineRule="auto"/>
        <w:ind w:left="113" w:right="5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6、气体终端的所有气体插座和接头均为德式终端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（品牌三选一：格尔森、德尔格、太平洋）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。气源终端数量为：氧气 2 个、负压吸引 2 个、压缩空气 2 个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，并包含所有插头；</w:t>
      </w:r>
    </w:p>
    <w:p>
      <w:pPr>
        <w:pStyle w:val="4"/>
        <w:snapToGrid/>
        <w:spacing w:before="1" w:beforeAutospacing="0" w:after="0" w:afterAutospacing="0" w:line="360" w:lineRule="auto"/>
        <w:ind w:left="113" w:right="-29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7</w:t>
      </w:r>
      <w:r>
        <w:rPr>
          <w:rFonts w:ascii="宋体" w:hAnsi="宋体" w:eastAsia="宋体" w:cs="宋体"/>
          <w:b w:val="0"/>
          <w:i w:val="0"/>
          <w:caps w:val="0"/>
          <w:spacing w:val="-11"/>
          <w:w w:val="100"/>
          <w:sz w:val="24"/>
          <w:szCs w:val="24"/>
        </w:rPr>
        <w:t>、吊塔插座为国标标准插座。电源插座数量：</w:t>
      </w:r>
      <w:r>
        <w:rPr>
          <w:rFonts w:ascii="宋体" w:hAnsi="宋体" w:eastAsia="宋体" w:cs="宋体"/>
          <w:b w:val="0"/>
          <w:i w:val="0"/>
          <w:caps w:val="0"/>
          <w:spacing w:val="-16"/>
          <w:w w:val="100"/>
          <w:sz w:val="24"/>
          <w:szCs w:val="24"/>
        </w:rPr>
        <w:t>10</w:t>
      </w:r>
      <w:r>
        <w:rPr>
          <w:rFonts w:ascii="宋体" w:hAnsi="宋体" w:eastAsia="宋体" w:cs="宋体"/>
          <w:b w:val="0"/>
          <w:i w:val="0"/>
          <w:caps w:val="0"/>
          <w:spacing w:val="-19"/>
          <w:w w:val="100"/>
          <w:sz w:val="24"/>
          <w:szCs w:val="24"/>
        </w:rPr>
        <w:t xml:space="preserve">个，其中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8</w:t>
      </w:r>
      <w:r>
        <w:rPr>
          <w:rFonts w:ascii="宋体" w:hAnsi="宋体" w:eastAsia="宋体" w:cs="宋体"/>
          <w:b w:val="0"/>
          <w:i w:val="0"/>
          <w:caps w:val="0"/>
          <w:spacing w:val="-24"/>
          <w:w w:val="100"/>
          <w:sz w:val="24"/>
          <w:szCs w:val="24"/>
        </w:rPr>
        <w:t xml:space="preserve">个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220V，10A，2个 220V，16A（品牌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三选一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：西门子、松下、施耐德）</w:t>
      </w:r>
    </w:p>
    <w:p>
      <w:pPr>
        <w:pStyle w:val="4"/>
        <w:snapToGrid/>
        <w:spacing w:before="1" w:beforeAutospacing="0" w:after="0" w:afterAutospacing="0" w:line="360" w:lineRule="auto"/>
        <w:ind w:left="113" w:right="183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8、配置双关节旋转输液架，不锈钢高度可调输液架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</w:p>
    <w:p>
      <w:pPr>
        <w:pStyle w:val="4"/>
        <w:snapToGrid/>
        <w:spacing w:before="0" w:beforeAutospacing="0" w:after="0" w:afterAutospacing="0" w:line="360" w:lineRule="auto"/>
        <w:ind w:left="113" w:right="89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9、箱体结构：电源插座和气源终端在箱体同一侧同一面板，且电源插座为倾斜安装，方便临床使用。（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提供原厂技术文档证明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16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10、吊塔箱体，附件安装轨道应为隐藏式，拒绝不美观外凸式轨道。（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提供原厂技术文档证明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1" w:beforeAutospacing="0" w:after="0" w:afterAutospacing="0" w:line="360" w:lineRule="auto"/>
        <w:ind w:left="113" w:right="1833"/>
        <w:jc w:val="left"/>
        <w:textAlignment w:val="baseline"/>
        <w:rPr>
          <w:rFonts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  <w:t>干区</w:t>
      </w: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配置：</w:t>
      </w:r>
    </w:p>
    <w:p>
      <w:pPr>
        <w:pStyle w:val="4"/>
        <w:snapToGrid/>
        <w:spacing w:before="1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吊箱式，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功能箱体长度≧680mm</w:t>
      </w:r>
    </w:p>
    <w:p>
      <w:pPr>
        <w:pStyle w:val="4"/>
        <w:snapToGrid/>
        <w:spacing w:before="0" w:beforeAutospacing="0" w:after="0" w:afterAutospacing="0" w:line="360" w:lineRule="auto"/>
        <w:ind w:left="113" w:right="62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2、仪器托盘：高度可自调。托盘 2 个，其中 1 个为带抽屉托盘，带双边侧导轨</w:t>
      </w:r>
    </w:p>
    <w:p>
      <w:pPr>
        <w:pStyle w:val="4"/>
        <w:snapToGrid/>
        <w:spacing w:before="0" w:beforeAutospacing="0" w:after="0" w:afterAutospacing="0" w:line="360" w:lineRule="auto"/>
        <w:ind w:left="113" w:right="35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>★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3、托盘承载重量≥45Kg，抽屉承载重量≥8Kg。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（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提供省级或国家级医疗器械检验所出具的检验报告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）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4、托盘为一体成型边角带防撞设计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；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5、气体终端的所有气体插座和接头均为德式终端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（品牌三选一：格尔森、德尔格、太平洋）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。气源终端数量为：氧气 2 个、负压吸引 2 个、压缩空气 2 个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，并包含所有插头；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6、吊塔插座为国标标准插座。电源插座数量：10</w:t>
      </w: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4"/>
          <w:szCs w:val="24"/>
        </w:rPr>
        <w:t xml:space="preserve">个，其中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8</w:t>
      </w:r>
      <w:r>
        <w:rPr>
          <w:rFonts w:ascii="宋体" w:hAnsi="宋体" w:eastAsia="宋体" w:cs="宋体"/>
          <w:b w:val="0"/>
          <w:i w:val="0"/>
          <w:caps w:val="0"/>
          <w:spacing w:val="-24"/>
          <w:w w:val="100"/>
          <w:sz w:val="24"/>
          <w:szCs w:val="24"/>
        </w:rPr>
        <w:t xml:space="preserve">个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220V，10A，2 个 220V，16A（品牌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三选一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：西门子、松下、施耐德）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RJ45 网络接口 2 个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8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网篮 1 套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商务参数</w:t>
      </w:r>
    </w:p>
    <w:bookmarkEnd w:id="0"/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1、若投标单位为代理商，需提供产品的有效授权。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2、投标文件中提供产品质量和售后服务承诺书。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3、中标方负责将设备运送到我院指定地点,负责安装、调试、培训等工作，直至该设备可以正常使用并且操作人员能熟练操作为止；负责提供设备全套技术资料，并承担由此产生的全部费用。如技术资料不全，采购人有权不支付货款。</w:t>
      </w:r>
    </w:p>
    <w:p>
      <w:pPr>
        <w:pStyle w:val="4"/>
        <w:snapToGrid/>
        <w:spacing w:before="0" w:beforeAutospacing="0" w:after="0" w:afterAutospacing="0" w:line="360" w:lineRule="auto"/>
        <w:ind w:left="113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*4、保修：整机(本项目所有设备及附属配套部件)免费保修大于等于二年，保修期自安装验收合格之日算起。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ZTcyZjRlZmQ3ZTFjOTY4NTU5NjgxZTE4MjAzZDgifQ=="/>
  </w:docVars>
  <w:rsids>
    <w:rsidRoot w:val="34493779"/>
    <w:rsid w:val="321C501E"/>
    <w:rsid w:val="34493779"/>
    <w:rsid w:val="4CF96BB6"/>
    <w:rsid w:val="72170391"/>
    <w:rsid w:val="734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2022-07-01T01:51:00Z</dcterms:created>
  <dc:creator>坤1405414379</dc:creator>
  <cp:lastModifiedBy>弥月</cp:lastModifiedBy>
  <dcterms:modified xsi:type="dcterms:W3CDTF">2022-07-08T03:12:35Z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07D50B043EB34AF18121FC93215F9E46</vt:lpwstr>
  </property>
</Properties>
</file>