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1"/>
          <w:numId w:val="0"/>
        </w:numPr>
        <w:tabs>
          <w:tab w:val="left" w:pos="576"/>
        </w:tabs>
        <w:spacing w:line="300" w:lineRule="auto"/>
        <w:ind w:left="576" w:hanging="576"/>
        <w:jc w:val="left"/>
        <w:rPr>
          <w:rFonts w:hint="eastAsia" w:ascii="宋体" w:hAnsi="宋体" w:eastAsia="宋体"/>
          <w:sz w:val="24"/>
          <w:szCs w:val="24"/>
          <w:lang w:eastAsia="zh-CN"/>
        </w:rPr>
      </w:pPr>
      <w:r>
        <w:rPr>
          <w:rFonts w:hint="eastAsia" w:ascii="宋体" w:hAnsi="宋体" w:eastAsia="宋体"/>
          <w:sz w:val="24"/>
          <w:szCs w:val="24"/>
          <w:lang w:eastAsia="zh-CN"/>
        </w:rPr>
        <w:t>附件二、招标参数</w:t>
      </w:r>
    </w:p>
    <w:p>
      <w:pPr>
        <w:pStyle w:val="3"/>
        <w:numPr>
          <w:ilvl w:val="1"/>
          <w:numId w:val="0"/>
        </w:numPr>
        <w:tabs>
          <w:tab w:val="left" w:pos="576"/>
        </w:tabs>
        <w:spacing w:line="300" w:lineRule="auto"/>
        <w:ind w:left="576" w:hanging="576"/>
        <w:jc w:val="left"/>
        <w:rPr>
          <w:rFonts w:ascii="宋体" w:hAnsi="宋体" w:eastAsia="宋体"/>
          <w:sz w:val="24"/>
          <w:szCs w:val="24"/>
        </w:rPr>
      </w:pPr>
      <w:r>
        <w:rPr>
          <w:rFonts w:hint="eastAsia" w:ascii="宋体" w:hAnsi="宋体" w:eastAsia="宋体"/>
          <w:sz w:val="24"/>
          <w:szCs w:val="24"/>
          <w:lang w:eastAsia="zh-CN"/>
        </w:rPr>
        <w:t>一</w:t>
      </w:r>
      <w:r>
        <w:rPr>
          <w:rFonts w:hint="eastAsia" w:ascii="宋体" w:hAnsi="宋体" w:eastAsia="宋体"/>
          <w:sz w:val="24"/>
          <w:szCs w:val="24"/>
        </w:rPr>
        <w:t>、安全服务需求</w:t>
      </w:r>
    </w:p>
    <w:p>
      <w:pPr>
        <w:pStyle w:val="3"/>
        <w:numPr>
          <w:ilvl w:val="1"/>
          <w:numId w:val="0"/>
        </w:numPr>
        <w:tabs>
          <w:tab w:val="left" w:pos="576"/>
        </w:tabs>
        <w:spacing w:line="300" w:lineRule="auto"/>
        <w:ind w:left="576" w:hanging="576"/>
        <w:jc w:val="left"/>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 xml:space="preserve">.1 </w:t>
      </w:r>
      <w:r>
        <w:rPr>
          <w:rFonts w:hint="eastAsia" w:ascii="宋体" w:hAnsi="宋体" w:eastAsia="宋体"/>
          <w:sz w:val="24"/>
          <w:szCs w:val="24"/>
        </w:rPr>
        <w:t>安全运维服务</w:t>
      </w:r>
    </w:p>
    <w:p>
      <w:pPr>
        <w:snapToGrid w:val="0"/>
        <w:ind w:left="19" w:right="63" w:firstLine="401"/>
        <w:rPr>
          <w:rFonts w:ascii="宋体"/>
          <w:sz w:val="24"/>
        </w:rPr>
      </w:pPr>
      <w:r>
        <w:rPr>
          <w:rFonts w:hint="eastAsia" w:ascii="宋体"/>
          <w:sz w:val="24"/>
        </w:rPr>
        <w:t>常规的安全服务工作应该形成一个巡检、加固、应急的安全闭环。通过定期的加固和巡检不断增强安全防护能力，消除新的安全隐患。在安全事件发生时，通过有效的应急处理机制，最快速恢复系统的保密性、完整性和可用性，阻止和降低安全威胁事件带来的严重性影响，建立立体化防护体系。</w:t>
      </w:r>
      <w:bookmarkStart w:id="2" w:name="_GoBack"/>
      <w:bookmarkEnd w:id="2"/>
    </w:p>
    <w:p>
      <w:pPr>
        <w:pStyle w:val="4"/>
        <w:spacing w:before="160" w:after="160" w:line="240" w:lineRule="auto"/>
        <w:rPr>
          <w:sz w:val="24"/>
          <w:szCs w:val="24"/>
        </w:rPr>
      </w:pPr>
      <w:r>
        <w:rPr>
          <w:rFonts w:hint="eastAsia"/>
          <w:sz w:val="24"/>
          <w:szCs w:val="24"/>
          <w:lang w:val="en-US" w:eastAsia="zh-CN"/>
        </w:rPr>
        <w:t>1</w:t>
      </w:r>
      <w:r>
        <w:rPr>
          <w:sz w:val="24"/>
          <w:szCs w:val="24"/>
        </w:rPr>
        <w:t xml:space="preserve">.1.1 </w:t>
      </w:r>
      <w:r>
        <w:rPr>
          <w:rFonts w:hint="eastAsia"/>
          <w:sz w:val="24"/>
          <w:szCs w:val="24"/>
        </w:rPr>
        <w:t>安全巡检服务</w:t>
      </w:r>
    </w:p>
    <w:p>
      <w:pPr>
        <w:snapToGrid w:val="0"/>
        <w:ind w:left="19" w:right="63" w:firstLine="401"/>
        <w:rPr>
          <w:rFonts w:ascii="宋体"/>
          <w:sz w:val="24"/>
        </w:rPr>
      </w:pPr>
      <w:r>
        <w:rPr>
          <w:rFonts w:hint="eastAsia" w:ascii="宋体"/>
          <w:sz w:val="24"/>
        </w:rPr>
        <w:t>可根据用户需求定制巡检周期，一般巡检的周期每季度一次。设备巡检的目标是通过该项工作，了解信息系统的运行健康状态，使IT管理人员清楚信息系统的运行情况，信息系统稳定性。技术人员进行设备巡检有三项主要工作：</w:t>
      </w:r>
    </w:p>
    <w:p>
      <w:pPr>
        <w:widowControl/>
        <w:numPr>
          <w:numId w:val="0"/>
        </w:numPr>
        <w:snapToGrid w:val="0"/>
        <w:ind w:leftChars="0" w:right="63" w:rightChars="0"/>
        <w:contextualSpacing/>
        <w:rPr>
          <w:rFonts w:ascii="宋体"/>
          <w:sz w:val="24"/>
        </w:rPr>
      </w:pPr>
      <w:r>
        <w:rPr>
          <w:rFonts w:hint="eastAsia" w:ascii="宋体"/>
          <w:sz w:val="24"/>
        </w:rPr>
        <w:t>检查各项IT基础设施（云服务器、安全设备、网站应用、数据库等），查看设备的各项运行指标是不是正常，查看各项设备硬件运行状态是否正常。</w:t>
      </w:r>
    </w:p>
    <w:p>
      <w:pPr>
        <w:widowControl/>
        <w:numPr>
          <w:numId w:val="0"/>
        </w:numPr>
        <w:snapToGrid w:val="0"/>
        <w:ind w:leftChars="0" w:right="63" w:rightChars="0"/>
        <w:contextualSpacing/>
        <w:rPr>
          <w:rFonts w:ascii="宋体"/>
          <w:sz w:val="24"/>
        </w:rPr>
      </w:pPr>
      <w:r>
        <w:rPr>
          <w:rFonts w:hint="eastAsia" w:ascii="宋体"/>
          <w:sz w:val="24"/>
        </w:rPr>
        <w:t>查看各项安全设备的软件版本（如操作系统补丁、防病毒系统病毒库等）是否升级，并在得到IT管理人员同意的情况下协助对各项内容进行升级。</w:t>
      </w:r>
    </w:p>
    <w:p>
      <w:pPr>
        <w:widowControl/>
        <w:numPr>
          <w:numId w:val="0"/>
        </w:numPr>
        <w:snapToGrid w:val="0"/>
        <w:ind w:leftChars="0" w:right="63" w:rightChars="0"/>
        <w:contextualSpacing/>
        <w:rPr>
          <w:rFonts w:ascii="宋体"/>
          <w:sz w:val="24"/>
        </w:rPr>
      </w:pPr>
      <w:r>
        <w:rPr>
          <w:rFonts w:hint="eastAsia" w:ascii="宋体"/>
          <w:sz w:val="24"/>
        </w:rPr>
        <w:t>利用现有的运维管理系统记录各项基础设备的历史数据，对信息系统的运行规律进行分析。分析信息系统在各周期各项IT基础设施的运行基线，使IT管理人员能了解信息系统运行的各种情况，及时合理的调整各项IT资源分配，保障信息系统稳定运行。</w:t>
      </w:r>
    </w:p>
    <w:p>
      <w:pPr>
        <w:widowControl/>
        <w:numPr>
          <w:numId w:val="0"/>
        </w:numPr>
        <w:snapToGrid w:val="0"/>
        <w:ind w:leftChars="0" w:right="63" w:rightChars="0"/>
        <w:contextualSpacing/>
        <w:rPr>
          <w:rFonts w:ascii="宋体"/>
          <w:sz w:val="24"/>
        </w:rPr>
      </w:pPr>
      <w:r>
        <w:rPr>
          <w:rFonts w:hint="eastAsia" w:ascii="宋体"/>
          <w:sz w:val="24"/>
        </w:rPr>
        <w:t>一年提供4次安全巡检服务，每季度巡检一次。</w:t>
      </w:r>
    </w:p>
    <w:p>
      <w:pPr>
        <w:widowControl/>
        <w:numPr>
          <w:numId w:val="0"/>
        </w:numPr>
        <w:snapToGrid w:val="0"/>
        <w:ind w:leftChars="0" w:right="63" w:rightChars="0"/>
        <w:contextualSpacing/>
        <w:rPr>
          <w:rFonts w:ascii="宋体"/>
          <w:sz w:val="24"/>
        </w:rPr>
      </w:pPr>
      <w:r>
        <w:rPr>
          <w:rFonts w:hint="eastAsia" w:ascii="宋体"/>
          <w:sz w:val="24"/>
        </w:rPr>
        <w:t>巡检完成后需在一周内提供安全巡检服务报告。</w:t>
      </w:r>
    </w:p>
    <w:p>
      <w:pPr>
        <w:pStyle w:val="4"/>
        <w:spacing w:before="160" w:after="160" w:line="240" w:lineRule="auto"/>
        <w:rPr>
          <w:sz w:val="24"/>
          <w:szCs w:val="24"/>
        </w:rPr>
      </w:pPr>
      <w:r>
        <w:rPr>
          <w:rFonts w:hint="eastAsia"/>
          <w:sz w:val="24"/>
          <w:szCs w:val="24"/>
          <w:lang w:val="en-US" w:eastAsia="zh-CN"/>
        </w:rPr>
        <w:t>1</w:t>
      </w:r>
      <w:r>
        <w:rPr>
          <w:sz w:val="24"/>
          <w:szCs w:val="24"/>
        </w:rPr>
        <w:t xml:space="preserve">.1.2 </w:t>
      </w:r>
      <w:r>
        <w:rPr>
          <w:rFonts w:hint="eastAsia"/>
          <w:sz w:val="24"/>
          <w:szCs w:val="24"/>
        </w:rPr>
        <w:t>安全加固服务</w:t>
      </w:r>
    </w:p>
    <w:p>
      <w:pPr>
        <w:snapToGrid w:val="0"/>
        <w:ind w:left="19" w:right="63" w:firstLine="401"/>
        <w:rPr>
          <w:rFonts w:ascii="宋体"/>
          <w:sz w:val="24"/>
        </w:rPr>
      </w:pPr>
      <w:r>
        <w:rPr>
          <w:rFonts w:hint="eastAsia" w:ascii="宋体"/>
          <w:sz w:val="24"/>
        </w:rPr>
        <w:t>系统安全加固（SystemSecurityHardening，SSH）是专门针对由各类服务器及主机统构成的混合型信息网络环境的安全性而提供的一项专业服务。为了消除现有的安全漏洞，安全加固服务主要包括以下主要内容：</w:t>
      </w:r>
    </w:p>
    <w:p>
      <w:pPr>
        <w:widowControl/>
        <w:numPr>
          <w:numId w:val="0"/>
        </w:numPr>
        <w:snapToGrid w:val="0"/>
        <w:ind w:leftChars="0" w:right="63" w:rightChars="0"/>
        <w:contextualSpacing/>
        <w:rPr>
          <w:rFonts w:ascii="宋体"/>
          <w:sz w:val="24"/>
        </w:rPr>
      </w:pPr>
      <w:r>
        <w:rPr>
          <w:rFonts w:hint="eastAsia" w:ascii="宋体"/>
          <w:sz w:val="24"/>
        </w:rPr>
        <w:t>审核系统当前及实施加固之后的安全性；</w:t>
      </w:r>
    </w:p>
    <w:p>
      <w:pPr>
        <w:widowControl/>
        <w:numPr>
          <w:numId w:val="0"/>
        </w:numPr>
        <w:snapToGrid w:val="0"/>
        <w:ind w:leftChars="0" w:right="63" w:rightChars="0"/>
        <w:contextualSpacing/>
        <w:rPr>
          <w:rFonts w:ascii="宋体"/>
          <w:sz w:val="24"/>
        </w:rPr>
      </w:pPr>
      <w:r>
        <w:rPr>
          <w:rFonts w:hint="eastAsia" w:ascii="宋体"/>
          <w:sz w:val="24"/>
        </w:rPr>
        <w:t>安装最新的系统安全补丁；</w:t>
      </w:r>
    </w:p>
    <w:p>
      <w:pPr>
        <w:widowControl/>
        <w:numPr>
          <w:numId w:val="0"/>
        </w:numPr>
        <w:snapToGrid w:val="0"/>
        <w:ind w:leftChars="0" w:right="63" w:rightChars="0"/>
        <w:contextualSpacing/>
        <w:rPr>
          <w:rFonts w:ascii="宋体"/>
          <w:sz w:val="24"/>
        </w:rPr>
      </w:pPr>
      <w:r>
        <w:rPr>
          <w:rFonts w:hint="eastAsia" w:ascii="宋体"/>
          <w:sz w:val="24"/>
        </w:rPr>
        <w:t>禁止不必要的应用和服务；</w:t>
      </w:r>
    </w:p>
    <w:p>
      <w:pPr>
        <w:widowControl/>
        <w:numPr>
          <w:numId w:val="0"/>
        </w:numPr>
        <w:snapToGrid w:val="0"/>
        <w:ind w:leftChars="0" w:right="63" w:rightChars="0"/>
        <w:contextualSpacing/>
        <w:rPr>
          <w:rFonts w:ascii="宋体"/>
          <w:sz w:val="24"/>
        </w:rPr>
      </w:pPr>
      <w:r>
        <w:rPr>
          <w:rFonts w:hint="eastAsia" w:ascii="宋体"/>
          <w:sz w:val="24"/>
        </w:rPr>
        <w:t>审核并加强文件系统的安全性；</w:t>
      </w:r>
    </w:p>
    <w:p>
      <w:pPr>
        <w:widowControl/>
        <w:numPr>
          <w:numId w:val="0"/>
        </w:numPr>
        <w:snapToGrid w:val="0"/>
        <w:ind w:leftChars="0" w:right="63" w:rightChars="0"/>
        <w:contextualSpacing/>
        <w:rPr>
          <w:rFonts w:ascii="宋体"/>
          <w:sz w:val="24"/>
        </w:rPr>
      </w:pPr>
      <w:r>
        <w:rPr>
          <w:rFonts w:hint="eastAsia" w:ascii="宋体"/>
          <w:sz w:val="24"/>
        </w:rPr>
        <w:t>禁止不必要的账号，并加强账号及口令管理策略；</w:t>
      </w:r>
    </w:p>
    <w:p>
      <w:pPr>
        <w:widowControl/>
        <w:numPr>
          <w:numId w:val="0"/>
        </w:numPr>
        <w:snapToGrid w:val="0"/>
        <w:ind w:leftChars="0" w:right="63" w:rightChars="0"/>
        <w:contextualSpacing/>
        <w:rPr>
          <w:rFonts w:ascii="宋体"/>
          <w:sz w:val="24"/>
        </w:rPr>
      </w:pPr>
      <w:r>
        <w:rPr>
          <w:rFonts w:hint="eastAsia" w:ascii="宋体"/>
          <w:sz w:val="24"/>
        </w:rPr>
        <w:t>去除后门，内核参数及配置调整；</w:t>
      </w:r>
    </w:p>
    <w:p>
      <w:pPr>
        <w:widowControl/>
        <w:numPr>
          <w:numId w:val="0"/>
        </w:numPr>
        <w:snapToGrid w:val="0"/>
        <w:ind w:leftChars="0" w:right="63" w:rightChars="0"/>
        <w:contextualSpacing/>
        <w:rPr>
          <w:rFonts w:ascii="宋体"/>
          <w:sz w:val="24"/>
        </w:rPr>
      </w:pPr>
      <w:r>
        <w:rPr>
          <w:rFonts w:hint="eastAsia" w:ascii="宋体"/>
          <w:sz w:val="24"/>
        </w:rPr>
        <w:t>启动日志审计功能。</w:t>
      </w:r>
    </w:p>
    <w:p>
      <w:pPr>
        <w:snapToGrid w:val="0"/>
        <w:ind w:left="19" w:right="63" w:firstLine="401"/>
        <w:rPr>
          <w:rFonts w:ascii="宋体"/>
          <w:sz w:val="24"/>
        </w:rPr>
      </w:pPr>
      <w:r>
        <w:rPr>
          <w:rFonts w:hint="eastAsia" w:ascii="宋体"/>
          <w:sz w:val="24"/>
        </w:rPr>
        <w:t>中间件及常见网络服务安全加固包含以下内容：</w:t>
      </w:r>
    </w:p>
    <w:p>
      <w:pPr>
        <w:widowControl/>
        <w:numPr>
          <w:numId w:val="0"/>
        </w:numPr>
        <w:snapToGrid w:val="0"/>
        <w:ind w:leftChars="0" w:right="63" w:rightChars="0"/>
        <w:contextualSpacing/>
        <w:rPr>
          <w:rFonts w:ascii="宋体"/>
          <w:sz w:val="24"/>
        </w:rPr>
      </w:pPr>
      <w:r>
        <w:rPr>
          <w:rFonts w:hint="eastAsia" w:ascii="宋体"/>
          <w:sz w:val="24"/>
        </w:rPr>
        <w:t>漏洞补丁管理，为业主方信息系统（含网站）的中间件及其他应用软件的漏洞补丁加固或版本更新提供修复建议，并在加固的前后提供漏洞验证。</w:t>
      </w:r>
    </w:p>
    <w:p>
      <w:pPr>
        <w:widowControl/>
        <w:numPr>
          <w:numId w:val="0"/>
        </w:numPr>
        <w:snapToGrid w:val="0"/>
        <w:ind w:leftChars="0" w:right="63" w:rightChars="0"/>
        <w:contextualSpacing/>
        <w:rPr>
          <w:rFonts w:ascii="宋体"/>
          <w:sz w:val="24"/>
        </w:rPr>
      </w:pPr>
      <w:r>
        <w:rPr>
          <w:rFonts w:hint="eastAsia" w:ascii="宋体"/>
          <w:sz w:val="24"/>
        </w:rPr>
        <w:t>帐号和口令管理</w:t>
      </w:r>
    </w:p>
    <w:p>
      <w:pPr>
        <w:widowControl/>
        <w:numPr>
          <w:numId w:val="0"/>
        </w:numPr>
        <w:snapToGrid w:val="0"/>
        <w:ind w:leftChars="0" w:right="63" w:rightChars="0"/>
        <w:contextualSpacing/>
        <w:rPr>
          <w:rFonts w:ascii="宋体"/>
          <w:sz w:val="24"/>
        </w:rPr>
      </w:pPr>
      <w:r>
        <w:rPr>
          <w:rFonts w:hint="eastAsia" w:ascii="宋体"/>
          <w:sz w:val="24"/>
        </w:rPr>
        <w:t>认证、授权策略调整</w:t>
      </w:r>
    </w:p>
    <w:p>
      <w:pPr>
        <w:widowControl/>
        <w:numPr>
          <w:numId w:val="0"/>
        </w:numPr>
        <w:snapToGrid w:val="0"/>
        <w:ind w:leftChars="0" w:right="63" w:rightChars="0"/>
        <w:contextualSpacing/>
        <w:rPr>
          <w:rFonts w:ascii="宋体"/>
          <w:sz w:val="24"/>
        </w:rPr>
      </w:pPr>
      <w:r>
        <w:rPr>
          <w:rFonts w:hint="eastAsia" w:ascii="宋体"/>
          <w:sz w:val="24"/>
        </w:rPr>
        <w:t>通讯协议加固</w:t>
      </w:r>
    </w:p>
    <w:p>
      <w:pPr>
        <w:widowControl/>
        <w:numPr>
          <w:numId w:val="0"/>
        </w:numPr>
        <w:snapToGrid w:val="0"/>
        <w:ind w:leftChars="0" w:right="63" w:rightChars="0"/>
        <w:contextualSpacing/>
        <w:rPr>
          <w:rFonts w:ascii="宋体"/>
          <w:sz w:val="24"/>
        </w:rPr>
      </w:pPr>
      <w:r>
        <w:rPr>
          <w:rFonts w:hint="eastAsia" w:ascii="宋体"/>
          <w:sz w:val="24"/>
        </w:rPr>
        <w:t>日志审核功能增强</w:t>
      </w:r>
    </w:p>
    <w:p>
      <w:pPr>
        <w:tabs>
          <w:tab w:val="left" w:pos="567"/>
          <w:tab w:val="left" w:pos="709"/>
        </w:tabs>
        <w:snapToGrid w:val="0"/>
        <w:spacing w:before="120"/>
        <w:ind w:left="17" w:right="63" w:hanging="17"/>
        <w:rPr>
          <w:rFonts w:ascii="宋体"/>
          <w:sz w:val="24"/>
          <w:highlight w:val="white"/>
        </w:rPr>
      </w:pPr>
      <w:r>
        <w:rPr>
          <w:rFonts w:hint="eastAsia" w:ascii="宋体"/>
          <w:sz w:val="24"/>
        </w:rPr>
        <w:t>其他安全配置增强</w:t>
      </w:r>
      <w:r>
        <w:rPr>
          <w:rFonts w:hint="eastAsia" w:ascii="宋体"/>
          <w:sz w:val="24"/>
          <w:highlight w:val="white"/>
        </w:rPr>
        <w:t>通过以下途径来实施系统加固服务：</w:t>
      </w:r>
    </w:p>
    <w:p>
      <w:pPr>
        <w:widowControl/>
        <w:numPr>
          <w:numId w:val="0"/>
        </w:numPr>
        <w:snapToGrid w:val="0"/>
        <w:ind w:leftChars="0" w:right="63" w:rightChars="0"/>
        <w:contextualSpacing/>
        <w:rPr>
          <w:rFonts w:ascii="宋体"/>
          <w:sz w:val="24"/>
        </w:rPr>
      </w:pPr>
      <w:r>
        <w:rPr>
          <w:rFonts w:hint="eastAsia" w:ascii="宋体"/>
          <w:sz w:val="24"/>
        </w:rPr>
        <w:t>通过人员访谈、现场调查等途径来了解客户对欲加固系统的技术要求；</w:t>
      </w:r>
    </w:p>
    <w:p>
      <w:pPr>
        <w:widowControl/>
        <w:numPr>
          <w:numId w:val="0"/>
        </w:numPr>
        <w:snapToGrid w:val="0"/>
        <w:ind w:leftChars="0" w:right="63" w:rightChars="0"/>
        <w:contextualSpacing/>
        <w:rPr>
          <w:rFonts w:ascii="宋体"/>
          <w:sz w:val="24"/>
        </w:rPr>
      </w:pPr>
      <w:r>
        <w:rPr>
          <w:rFonts w:hint="eastAsia" w:ascii="宋体"/>
          <w:sz w:val="24"/>
        </w:rPr>
        <w:t>实施必要的安全扫描，确认安全加固前目标系统问题所在，提取加固需求；</w:t>
      </w:r>
    </w:p>
    <w:p>
      <w:pPr>
        <w:widowControl/>
        <w:numPr>
          <w:numId w:val="0"/>
        </w:numPr>
        <w:snapToGrid w:val="0"/>
        <w:ind w:leftChars="0" w:right="63" w:rightChars="0"/>
        <w:contextualSpacing/>
        <w:rPr>
          <w:rFonts w:ascii="宋体"/>
          <w:sz w:val="24"/>
        </w:rPr>
      </w:pPr>
      <w:r>
        <w:rPr>
          <w:rFonts w:hint="eastAsia" w:ascii="宋体"/>
          <w:sz w:val="24"/>
        </w:rPr>
        <w:t>为系统安全加固做好准备（环境、工具、资料、人员等）；</w:t>
      </w:r>
    </w:p>
    <w:p>
      <w:pPr>
        <w:widowControl/>
        <w:numPr>
          <w:numId w:val="0"/>
        </w:numPr>
        <w:snapToGrid w:val="0"/>
        <w:ind w:leftChars="0" w:right="63" w:rightChars="0"/>
        <w:contextualSpacing/>
        <w:rPr>
          <w:rFonts w:ascii="宋体"/>
          <w:sz w:val="24"/>
        </w:rPr>
      </w:pPr>
      <w:r>
        <w:rPr>
          <w:rFonts w:hint="eastAsia" w:ascii="宋体"/>
          <w:sz w:val="24"/>
        </w:rPr>
        <w:t>通过系统加固测试来确认加固方案的可行性；</w:t>
      </w:r>
    </w:p>
    <w:p>
      <w:pPr>
        <w:widowControl/>
        <w:numPr>
          <w:numId w:val="0"/>
        </w:numPr>
        <w:snapToGrid w:val="0"/>
        <w:ind w:leftChars="0" w:right="63" w:rightChars="0"/>
        <w:contextualSpacing/>
        <w:rPr>
          <w:rFonts w:ascii="宋体"/>
          <w:sz w:val="24"/>
        </w:rPr>
      </w:pPr>
      <w:r>
        <w:rPr>
          <w:rFonts w:hint="eastAsia" w:ascii="宋体"/>
          <w:sz w:val="24"/>
        </w:rPr>
        <w:t>借助预先准备好的Checklist及工具来实施正式的系统安全加固；</w:t>
      </w:r>
    </w:p>
    <w:p>
      <w:pPr>
        <w:widowControl/>
        <w:numPr>
          <w:numId w:val="0"/>
        </w:numPr>
        <w:snapToGrid w:val="0"/>
        <w:ind w:leftChars="0" w:right="63" w:rightChars="0"/>
        <w:contextualSpacing/>
        <w:rPr>
          <w:rFonts w:ascii="宋体"/>
          <w:sz w:val="24"/>
        </w:rPr>
      </w:pPr>
      <w:r>
        <w:rPr>
          <w:rFonts w:hint="eastAsia" w:ascii="宋体"/>
          <w:sz w:val="24"/>
        </w:rPr>
        <w:t>通过后期安全扫描及审计来验证加固结果的有效性。</w:t>
      </w:r>
    </w:p>
    <w:p>
      <w:pPr>
        <w:widowControl/>
        <w:numPr>
          <w:numId w:val="0"/>
        </w:numPr>
        <w:snapToGrid w:val="0"/>
        <w:ind w:leftChars="0" w:right="63" w:rightChars="0"/>
        <w:contextualSpacing/>
        <w:rPr>
          <w:rFonts w:ascii="宋体"/>
          <w:sz w:val="24"/>
        </w:rPr>
      </w:pPr>
      <w:r>
        <w:rPr>
          <w:rFonts w:hint="eastAsia" w:ascii="宋体"/>
          <w:sz w:val="24"/>
        </w:rPr>
        <w:t>一年提供4次安全巡检服务，每季度巡检一次。</w:t>
      </w:r>
    </w:p>
    <w:p>
      <w:pPr>
        <w:widowControl/>
        <w:numPr>
          <w:numId w:val="0"/>
        </w:numPr>
        <w:snapToGrid w:val="0"/>
        <w:ind w:leftChars="0" w:right="63" w:rightChars="0"/>
        <w:contextualSpacing/>
        <w:rPr>
          <w:rFonts w:ascii="宋体"/>
          <w:sz w:val="24"/>
        </w:rPr>
      </w:pPr>
      <w:r>
        <w:rPr>
          <w:rFonts w:hint="eastAsia" w:ascii="宋体"/>
          <w:sz w:val="24"/>
        </w:rPr>
        <w:t>安全加固完成后需在一周内提供安全加固报告。</w:t>
      </w:r>
    </w:p>
    <w:p>
      <w:pPr>
        <w:pStyle w:val="4"/>
        <w:spacing w:before="160" w:after="160" w:line="240" w:lineRule="auto"/>
        <w:rPr>
          <w:sz w:val="24"/>
          <w:szCs w:val="24"/>
        </w:rPr>
      </w:pPr>
      <w:r>
        <w:rPr>
          <w:rFonts w:hint="eastAsia"/>
          <w:sz w:val="24"/>
          <w:szCs w:val="24"/>
          <w:lang w:val="en-US" w:eastAsia="zh-CN"/>
        </w:rPr>
        <w:t>1</w:t>
      </w:r>
      <w:r>
        <w:rPr>
          <w:sz w:val="24"/>
          <w:szCs w:val="24"/>
        </w:rPr>
        <w:t>.</w:t>
      </w:r>
      <w:r>
        <w:rPr>
          <w:rFonts w:hint="eastAsia"/>
          <w:sz w:val="24"/>
          <w:szCs w:val="24"/>
        </w:rPr>
        <w:t>1.3</w:t>
      </w:r>
      <w:r>
        <w:rPr>
          <w:sz w:val="24"/>
          <w:szCs w:val="24"/>
        </w:rPr>
        <w:t xml:space="preserve"> </w:t>
      </w:r>
      <w:r>
        <w:rPr>
          <w:rFonts w:hint="eastAsia"/>
          <w:sz w:val="24"/>
          <w:szCs w:val="24"/>
        </w:rPr>
        <w:t>应急响应服务</w:t>
      </w:r>
    </w:p>
    <w:p>
      <w:pPr>
        <w:snapToGrid w:val="0"/>
        <w:ind w:left="19" w:right="63" w:firstLine="401"/>
        <w:rPr>
          <w:rFonts w:ascii="宋体"/>
          <w:sz w:val="24"/>
        </w:rPr>
      </w:pPr>
      <w:r>
        <w:rPr>
          <w:rFonts w:hint="eastAsia" w:ascii="宋体"/>
          <w:sz w:val="24"/>
        </w:rPr>
        <w:t>安全事件应急响应是指当安全威胁事件发生后迅速采取的措施和行动，其目的是最快速恢复系统的保密性、完整性和可用性，阻止和降低安全威胁事件带来的严重性影响。</w:t>
      </w:r>
    </w:p>
    <w:p>
      <w:pPr>
        <w:snapToGrid w:val="0"/>
        <w:ind w:left="19" w:right="63" w:firstLine="401"/>
        <w:rPr>
          <w:rFonts w:ascii="宋体"/>
          <w:sz w:val="24"/>
        </w:rPr>
      </w:pPr>
      <w:r>
        <w:rPr>
          <w:rFonts w:hint="eastAsia" w:ascii="宋体"/>
          <w:sz w:val="24"/>
        </w:rPr>
        <w:t>安全事件应急响应是指当安全威胁事件发生后迅速采取的措施和行动，其目的是最快速恢复系统的保密性、完整性和可用性，阻止和降低安全威胁事件带来的严重性影响。安全事件主要包括：病毒和蠕虫事件、黑客入侵事件、误操作或设备故障事件等。</w:t>
      </w:r>
    </w:p>
    <w:p>
      <w:pPr>
        <w:snapToGrid w:val="0"/>
        <w:ind w:left="19" w:right="63" w:firstLine="401"/>
        <w:rPr>
          <w:rFonts w:ascii="宋体"/>
          <w:sz w:val="24"/>
        </w:rPr>
      </w:pPr>
      <w:r>
        <w:rPr>
          <w:rFonts w:hint="eastAsia" w:ascii="宋体"/>
          <w:sz w:val="24"/>
        </w:rPr>
        <w:t>针对基础网络系统、主机系统、安全系统等重要信息化设施可能出现的信息安全事件制定详细的应急响应流程和策略，提供及时的信息安全应急响应服务。要求在1小时内排查与解决相关安全问题，保护关键信息系统免受重大故障或灾难的影响，并提供应急响应分析报告。</w:t>
      </w:r>
    </w:p>
    <w:p>
      <w:pPr>
        <w:pStyle w:val="4"/>
        <w:spacing w:before="160" w:after="160" w:line="240" w:lineRule="auto"/>
        <w:rPr>
          <w:sz w:val="24"/>
          <w:szCs w:val="24"/>
        </w:rPr>
      </w:pPr>
      <w:bookmarkStart w:id="0" w:name="_Toc80366616"/>
      <w:r>
        <w:rPr>
          <w:rFonts w:hint="eastAsia"/>
          <w:sz w:val="24"/>
          <w:szCs w:val="24"/>
          <w:lang w:val="en-US" w:eastAsia="zh-CN"/>
        </w:rPr>
        <w:t>1</w:t>
      </w:r>
      <w:r>
        <w:rPr>
          <w:sz w:val="24"/>
          <w:szCs w:val="24"/>
        </w:rPr>
        <w:t xml:space="preserve">.1.4 </w:t>
      </w:r>
      <w:r>
        <w:rPr>
          <w:rFonts w:hint="eastAsia"/>
          <w:sz w:val="24"/>
          <w:szCs w:val="24"/>
        </w:rPr>
        <w:t>重大敏感时期保障</w:t>
      </w:r>
      <w:bookmarkEnd w:id="0"/>
    </w:p>
    <w:p>
      <w:pPr>
        <w:snapToGrid w:val="0"/>
        <w:ind w:left="19" w:right="63" w:firstLine="401"/>
        <w:rPr>
          <w:rFonts w:ascii="宋体"/>
          <w:sz w:val="24"/>
        </w:rPr>
      </w:pPr>
      <w:bookmarkStart w:id="1" w:name="_Toc80366617"/>
      <w:r>
        <w:rPr>
          <w:rFonts w:hint="eastAsia" w:ascii="宋体"/>
          <w:sz w:val="24"/>
        </w:rPr>
        <w:t>为芜湖市妇幼保健院提供重大敏感事件安全保障，保障内容应包括：安全评估、事前备份、事前保障等。</w:t>
      </w:r>
    </w:p>
    <w:p>
      <w:pPr>
        <w:pStyle w:val="4"/>
        <w:spacing w:before="160" w:after="160" w:line="240" w:lineRule="auto"/>
        <w:rPr>
          <w:sz w:val="24"/>
          <w:szCs w:val="24"/>
        </w:rPr>
      </w:pPr>
      <w:r>
        <w:rPr>
          <w:rFonts w:hint="eastAsia"/>
          <w:sz w:val="24"/>
          <w:szCs w:val="24"/>
          <w:lang w:val="en-US" w:eastAsia="zh-CN"/>
        </w:rPr>
        <w:t>1</w:t>
      </w:r>
      <w:r>
        <w:rPr>
          <w:sz w:val="24"/>
          <w:szCs w:val="24"/>
        </w:rPr>
        <w:t>.1.5</w:t>
      </w:r>
      <w:r>
        <w:rPr>
          <w:rFonts w:hint="eastAsia"/>
          <w:sz w:val="24"/>
          <w:szCs w:val="24"/>
        </w:rPr>
        <w:t>资产梳理服务</w:t>
      </w:r>
    </w:p>
    <w:p>
      <w:pPr>
        <w:snapToGrid w:val="0"/>
        <w:ind w:left="19" w:right="63" w:firstLine="401"/>
        <w:rPr>
          <w:rFonts w:ascii="宋体"/>
          <w:sz w:val="24"/>
        </w:rPr>
      </w:pPr>
      <w:r>
        <w:rPr>
          <w:rFonts w:hint="eastAsia" w:ascii="宋体"/>
          <w:sz w:val="24"/>
        </w:rPr>
        <w:t>用户数据中心是由多种软硬件设备组成，包括接入链路、网络设备、主机设备、安全设备、存储设备、虚拟化平台、应用软件、域名/IP以及UPS、精密空调等各种物理环境设备，这些软硬件设备是组成其信息系统的重要资产。在日常的运维管理过程中需要用到相关资产的各种属性信息，包括品牌、型号、版本、配置、维保情况、国产化情况、物理位置、管理信息、连接信息、依赖关系、文档情况、供应商信息、厂商信息、服务方信息、重要性等各个方面，这些软硬件资产的相关详尽信息是运维管理工作的基础支撑数据。</w:t>
      </w:r>
    </w:p>
    <w:p>
      <w:pPr>
        <w:snapToGrid w:val="0"/>
        <w:ind w:left="19" w:right="63" w:firstLine="401"/>
        <w:rPr>
          <w:rFonts w:ascii="宋体"/>
          <w:sz w:val="24"/>
        </w:rPr>
      </w:pPr>
      <w:r>
        <w:rPr>
          <w:rFonts w:hint="eastAsia" w:ascii="宋体"/>
          <w:sz w:val="24"/>
        </w:rPr>
        <w:t>对用户数据中心所有软硬件资产详尽信息的标准化梳理，并在此基础上实现资产信息的动态维护和随时随地的检索查询，是全面运维的基础。</w:t>
      </w:r>
    </w:p>
    <w:p>
      <w:pPr>
        <w:snapToGrid w:val="0"/>
        <w:ind w:left="19" w:right="63" w:firstLine="401"/>
        <w:rPr>
          <w:rFonts w:ascii="宋体"/>
          <w:sz w:val="24"/>
        </w:rPr>
      </w:pPr>
      <w:r>
        <w:rPr>
          <w:rFonts w:hint="eastAsia" w:ascii="宋体"/>
          <w:sz w:val="24"/>
        </w:rPr>
        <w:t>资产梳理服务之后，最终向用户交付的文档主要如下：</w:t>
      </w:r>
    </w:p>
    <w:p>
      <w:pPr>
        <w:pStyle w:val="7"/>
        <w:numPr>
          <w:numId w:val="0"/>
        </w:numPr>
        <w:snapToGrid w:val="0"/>
        <w:ind w:left="420" w:leftChars="0" w:right="63" w:rightChars="0"/>
        <w:rPr>
          <w:rFonts w:ascii="宋体"/>
          <w:sz w:val="24"/>
        </w:rPr>
      </w:pPr>
      <w:r>
        <w:rPr>
          <w:rFonts w:hint="eastAsia" w:ascii="宋体"/>
          <w:sz w:val="24"/>
        </w:rPr>
        <w:t>《XX用户信息资产统计表》</w:t>
      </w:r>
    </w:p>
    <w:p>
      <w:pPr>
        <w:pStyle w:val="7"/>
        <w:numPr>
          <w:numId w:val="0"/>
        </w:numPr>
        <w:snapToGrid w:val="0"/>
        <w:ind w:left="420" w:leftChars="0" w:right="63" w:rightChars="0"/>
        <w:rPr>
          <w:rFonts w:ascii="宋体"/>
          <w:sz w:val="24"/>
        </w:rPr>
      </w:pPr>
      <w:r>
        <w:rPr>
          <w:rFonts w:hint="eastAsia" w:ascii="宋体"/>
          <w:sz w:val="24"/>
        </w:rPr>
        <w:t>《XX用户信息系统网络拓扑图》</w:t>
      </w:r>
    </w:p>
    <w:p>
      <w:pPr>
        <w:pStyle w:val="7"/>
        <w:numPr>
          <w:numId w:val="0"/>
        </w:numPr>
        <w:snapToGrid w:val="0"/>
        <w:ind w:left="420" w:leftChars="0" w:right="63" w:rightChars="0"/>
        <w:rPr>
          <w:rFonts w:ascii="宋体"/>
          <w:sz w:val="24"/>
        </w:rPr>
      </w:pPr>
      <w:r>
        <w:rPr>
          <w:rFonts w:hint="eastAsia" w:ascii="宋体"/>
          <w:sz w:val="24"/>
        </w:rPr>
        <w:t>《XX用户信息系统设备信息统计表》</w:t>
      </w:r>
    </w:p>
    <w:p>
      <w:pPr>
        <w:pStyle w:val="7"/>
        <w:numPr>
          <w:numId w:val="0"/>
        </w:numPr>
        <w:snapToGrid w:val="0"/>
        <w:ind w:left="420" w:leftChars="0" w:right="63" w:rightChars="0"/>
        <w:rPr>
          <w:rFonts w:ascii="宋体"/>
          <w:sz w:val="24"/>
        </w:rPr>
      </w:pPr>
      <w:r>
        <w:rPr>
          <w:rFonts w:hint="eastAsia" w:ascii="宋体"/>
          <w:sz w:val="24"/>
        </w:rPr>
        <w:t>《XX用户信息系统设备登录方式及帐号统计表》（如果有，单独保密交付）</w:t>
      </w:r>
    </w:p>
    <w:p>
      <w:pPr>
        <w:pStyle w:val="2"/>
        <w:ind w:left="1260"/>
        <w:rPr>
          <w:rFonts w:hint="eastAsia"/>
        </w:rPr>
      </w:pPr>
    </w:p>
    <w:bookmarkEnd w:id="1"/>
    <w:p>
      <w:pPr>
        <w:pStyle w:val="3"/>
        <w:numPr>
          <w:ilvl w:val="1"/>
          <w:numId w:val="0"/>
        </w:numPr>
        <w:tabs>
          <w:tab w:val="left" w:pos="576"/>
        </w:tabs>
        <w:spacing w:line="300" w:lineRule="auto"/>
        <w:ind w:left="576" w:hanging="576"/>
        <w:jc w:val="lef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
    </w:p>
    <w:p>
      <w:pPr>
        <w:pStyle w:val="4"/>
        <w:spacing w:before="160" w:after="160" w:line="240" w:lineRule="auto"/>
        <w:rPr>
          <w:sz w:val="24"/>
          <w:szCs w:val="24"/>
        </w:rPr>
      </w:pPr>
      <w:r>
        <w:rPr>
          <w:rFonts w:hint="eastAsia"/>
          <w:sz w:val="24"/>
          <w:szCs w:val="24"/>
          <w:lang w:val="en-US" w:eastAsia="zh-CN"/>
        </w:rPr>
        <w:t>1</w:t>
      </w:r>
      <w:r>
        <w:rPr>
          <w:sz w:val="24"/>
          <w:szCs w:val="24"/>
        </w:rPr>
        <w:t>.2</w:t>
      </w:r>
      <w:r>
        <w:rPr>
          <w:rFonts w:hint="eastAsia"/>
          <w:sz w:val="24"/>
          <w:szCs w:val="24"/>
        </w:rPr>
        <w:t>.1</w:t>
      </w:r>
      <w:r>
        <w:rPr>
          <w:sz w:val="24"/>
          <w:szCs w:val="24"/>
        </w:rPr>
        <w:t xml:space="preserve"> </w:t>
      </w:r>
      <w:r>
        <w:rPr>
          <w:rFonts w:hint="eastAsia"/>
          <w:sz w:val="24"/>
          <w:szCs w:val="24"/>
        </w:rPr>
        <w:t>管理要求</w:t>
      </w:r>
    </w:p>
    <w:p>
      <w:pPr>
        <w:snapToGrid w:val="0"/>
        <w:ind w:left="19" w:right="63" w:firstLine="401"/>
        <w:rPr>
          <w:rFonts w:ascii="宋体"/>
          <w:sz w:val="24"/>
        </w:rPr>
      </w:pPr>
      <w:r>
        <w:rPr>
          <w:rFonts w:hint="eastAsia" w:ascii="宋体"/>
          <w:sz w:val="24"/>
        </w:rPr>
        <w:t>通过专业的安全服务管理，为信息系统的安全与稳定运行提供有力的保障，及时有效解决信息系统在日常工作中出现的各类硬件系统、网络及其他相关方面出现的故障，有力保障系统的正常运作。通过对信息系统的安全风险评估及安全加固服务，为网络、软硬件系统的安全运行提供有力的安全保障，建立以人员、流程、产品、服务商（4Ps)为一体的数据中心运维管理体系。</w:t>
      </w:r>
    </w:p>
    <w:p>
      <w:pPr>
        <w:snapToGrid w:val="0"/>
        <w:spacing w:before="120"/>
        <w:ind w:right="63" w:firstLine="420"/>
        <w:rPr>
          <w:rFonts w:ascii="宋体"/>
          <w:sz w:val="24"/>
        </w:rPr>
      </w:pPr>
      <w:r>
        <w:rPr>
          <w:rFonts w:hint="eastAsia" w:ascii="宋体"/>
          <w:sz w:val="24"/>
        </w:rPr>
        <w:t>（1）人员</w:t>
      </w:r>
    </w:p>
    <w:p>
      <w:pPr>
        <w:snapToGrid w:val="0"/>
        <w:ind w:left="19" w:right="63" w:firstLine="401"/>
        <w:rPr>
          <w:rFonts w:ascii="宋体"/>
          <w:sz w:val="24"/>
        </w:rPr>
      </w:pPr>
      <w:r>
        <w:rPr>
          <w:rFonts w:hint="eastAsia" w:ascii="宋体"/>
          <w:sz w:val="24"/>
        </w:rPr>
        <w:t>人员是运维管理的基础，也是运维管理的核心。所需要管理的对象，包括基础设施、IT设备、系统与数据、管理工具和人员等。</w:t>
      </w:r>
    </w:p>
    <w:p>
      <w:pPr>
        <w:snapToGrid w:val="0"/>
        <w:spacing w:before="120"/>
        <w:ind w:right="63" w:firstLine="420"/>
        <w:rPr>
          <w:rFonts w:ascii="宋体"/>
          <w:sz w:val="24"/>
        </w:rPr>
      </w:pPr>
      <w:r>
        <w:rPr>
          <w:rFonts w:hint="eastAsia" w:ascii="宋体"/>
          <w:sz w:val="24"/>
        </w:rPr>
        <w:t>（2）流程</w:t>
      </w:r>
    </w:p>
    <w:p>
      <w:pPr>
        <w:snapToGrid w:val="0"/>
        <w:ind w:left="19" w:right="63" w:firstLine="401"/>
        <w:rPr>
          <w:rFonts w:ascii="宋体"/>
          <w:sz w:val="24"/>
        </w:rPr>
      </w:pPr>
      <w:r>
        <w:rPr>
          <w:rFonts w:hint="eastAsia" w:ascii="宋体"/>
          <w:sz w:val="24"/>
        </w:rPr>
        <w:t>流程是运维管理质量的保证。作为IT服务的物理载体，存在的目的就是保证服务可以按质、按量地提供。需要把现在的管理工作抽象成不同的管理流程，并把流程之间的关系、流程的角色、流程的触发点、流程的输入与输出等进行详细定义。通过这些服务工作的流程化使得整个服务提供过程可被监控、管理。</w:t>
      </w:r>
    </w:p>
    <w:p>
      <w:pPr>
        <w:snapToGrid w:val="0"/>
        <w:spacing w:before="120"/>
        <w:ind w:right="63" w:firstLine="420"/>
        <w:rPr>
          <w:rFonts w:ascii="宋体"/>
          <w:sz w:val="24"/>
        </w:rPr>
      </w:pPr>
      <w:r>
        <w:rPr>
          <w:rFonts w:hint="eastAsia" w:ascii="宋体"/>
          <w:sz w:val="24"/>
        </w:rPr>
        <w:t>（3）产品</w:t>
      </w:r>
    </w:p>
    <w:p>
      <w:pPr>
        <w:snapToGrid w:val="0"/>
        <w:ind w:left="19" w:right="63" w:firstLine="401"/>
        <w:rPr>
          <w:rFonts w:ascii="宋体"/>
          <w:sz w:val="24"/>
        </w:rPr>
      </w:pPr>
      <w:r>
        <w:rPr>
          <w:rFonts w:hint="eastAsia" w:ascii="宋体"/>
          <w:sz w:val="24"/>
        </w:rPr>
        <w:t>产品是运维管理的加速器。运维管理涉及的对象庞杂且重复性工作较多。若完全依靠人工去完成这些工作，一方面对人员的技能与数量有较高的要求，另一方面在工作质量的保证方面也存在风险。为此，越来越多的数据中心在开展运维管理工作时使用大量工具，目的是通过这些工具的部署取代一些监控、操作、配置文件、工作流管理等大量重复性工作，最终实现提升运维水平、降低运维风险、减少运维成本的目的。</w:t>
      </w:r>
    </w:p>
    <w:p>
      <w:pPr>
        <w:snapToGrid w:val="0"/>
        <w:spacing w:before="120"/>
        <w:ind w:right="63" w:firstLine="420"/>
        <w:rPr>
          <w:rFonts w:ascii="宋体"/>
          <w:sz w:val="24"/>
        </w:rPr>
      </w:pPr>
      <w:r>
        <w:rPr>
          <w:rFonts w:hint="eastAsia" w:ascii="宋体"/>
          <w:sz w:val="24"/>
        </w:rPr>
        <w:t>（4）服务商</w:t>
      </w:r>
    </w:p>
    <w:p>
      <w:pPr>
        <w:snapToGrid w:val="0"/>
        <w:ind w:left="19" w:right="63" w:firstLine="401"/>
        <w:rPr>
          <w:rFonts w:ascii="宋体"/>
          <w:sz w:val="24"/>
        </w:rPr>
      </w:pPr>
      <w:r>
        <w:rPr>
          <w:rFonts w:hint="eastAsia" w:ascii="宋体"/>
          <w:sz w:val="24"/>
        </w:rPr>
        <w:t>服务商是运维管理的支持者。作为专业化的运维管理，有效地整合管理对象，并最终为用户提供专业化的服务才是服务提供者的核心价值所在。</w:t>
      </w:r>
    </w:p>
    <w:p>
      <w:pPr>
        <w:pStyle w:val="4"/>
        <w:spacing w:before="160" w:after="160" w:line="240" w:lineRule="auto"/>
        <w:rPr>
          <w:sz w:val="24"/>
          <w:szCs w:val="24"/>
        </w:rPr>
      </w:pPr>
      <w:r>
        <w:rPr>
          <w:rFonts w:hint="eastAsia"/>
          <w:sz w:val="24"/>
          <w:szCs w:val="24"/>
          <w:lang w:val="en-US" w:eastAsia="zh-CN"/>
        </w:rPr>
        <w:t>1</w:t>
      </w:r>
      <w:r>
        <w:rPr>
          <w:sz w:val="24"/>
          <w:szCs w:val="24"/>
        </w:rPr>
        <w:t>.2</w:t>
      </w:r>
      <w:r>
        <w:rPr>
          <w:rFonts w:hint="eastAsia"/>
          <w:sz w:val="24"/>
          <w:szCs w:val="24"/>
        </w:rPr>
        <w:t>.2</w:t>
      </w:r>
      <w:r>
        <w:rPr>
          <w:sz w:val="24"/>
          <w:szCs w:val="24"/>
        </w:rPr>
        <w:t xml:space="preserve"> </w:t>
      </w:r>
      <w:r>
        <w:rPr>
          <w:rFonts w:hint="eastAsia"/>
          <w:sz w:val="24"/>
          <w:szCs w:val="24"/>
        </w:rPr>
        <w:t>服务范围</w:t>
      </w:r>
    </w:p>
    <w:p>
      <w:pPr>
        <w:tabs>
          <w:tab w:val="left" w:pos="8160"/>
        </w:tabs>
        <w:kinsoku w:val="0"/>
        <w:overflowPunct w:val="0"/>
        <w:autoSpaceDE w:val="0"/>
        <w:autoSpaceDN w:val="0"/>
        <w:snapToGrid w:val="0"/>
        <w:ind w:left="15" w:right="63" w:firstLine="401"/>
        <w:jc w:val="left"/>
        <w:rPr>
          <w:rFonts w:ascii="宋体"/>
          <w:sz w:val="24"/>
        </w:rPr>
      </w:pPr>
      <w:r>
        <w:rPr>
          <w:rFonts w:hint="eastAsia" w:ascii="宋体"/>
          <w:sz w:val="24"/>
        </w:rPr>
        <w:t>芜湖市妇幼保健院信息系统。</w:t>
      </w:r>
    </w:p>
    <w:p>
      <w:pPr>
        <w:tabs>
          <w:tab w:val="left" w:pos="8160"/>
        </w:tabs>
        <w:kinsoku w:val="0"/>
        <w:overflowPunct w:val="0"/>
        <w:autoSpaceDE w:val="0"/>
        <w:autoSpaceDN w:val="0"/>
        <w:snapToGrid w:val="0"/>
        <w:ind w:left="15" w:right="63" w:firstLine="403"/>
        <w:jc w:val="left"/>
        <w:rPr>
          <w:rFonts w:ascii="宋体"/>
          <w:sz w:val="24"/>
        </w:rPr>
      </w:pPr>
      <w:r>
        <w:rPr>
          <w:rFonts w:hint="eastAsia" w:ascii="宋体"/>
          <w:sz w:val="24"/>
        </w:rPr>
        <w:t>实施地点：芜湖市妇幼保健院指定的服务地点。</w:t>
      </w:r>
    </w:p>
    <w:p>
      <w:pPr>
        <w:pStyle w:val="4"/>
        <w:spacing w:before="160" w:after="160" w:line="240" w:lineRule="auto"/>
        <w:rPr>
          <w:sz w:val="24"/>
          <w:szCs w:val="24"/>
        </w:rPr>
      </w:pPr>
      <w:r>
        <w:rPr>
          <w:rFonts w:hint="eastAsia"/>
          <w:sz w:val="24"/>
          <w:szCs w:val="24"/>
          <w:lang w:val="en-US" w:eastAsia="zh-CN"/>
        </w:rPr>
        <w:t>1</w:t>
      </w:r>
      <w:r>
        <w:rPr>
          <w:sz w:val="24"/>
          <w:szCs w:val="24"/>
        </w:rPr>
        <w:t>.2</w:t>
      </w:r>
      <w:r>
        <w:rPr>
          <w:rFonts w:hint="eastAsia"/>
          <w:sz w:val="24"/>
          <w:szCs w:val="24"/>
        </w:rPr>
        <w:t>.</w:t>
      </w:r>
      <w:r>
        <w:rPr>
          <w:sz w:val="24"/>
          <w:szCs w:val="24"/>
        </w:rPr>
        <w:t xml:space="preserve">3 </w:t>
      </w:r>
      <w:r>
        <w:rPr>
          <w:rFonts w:hint="eastAsia"/>
          <w:sz w:val="24"/>
          <w:szCs w:val="24"/>
        </w:rPr>
        <w:t>服务的模式和要求</w:t>
      </w:r>
    </w:p>
    <w:p>
      <w:pPr>
        <w:widowControl/>
        <w:snapToGrid w:val="0"/>
        <w:ind w:left="17" w:right="63" w:firstLine="480"/>
        <w:contextualSpacing/>
        <w:rPr>
          <w:rFonts w:ascii="宋体"/>
          <w:sz w:val="24"/>
        </w:rPr>
      </w:pPr>
      <w:r>
        <w:rPr>
          <w:rFonts w:hint="eastAsia" w:ascii="宋体"/>
          <w:sz w:val="24"/>
        </w:rPr>
        <w:t>1)供应商应针对服务项目内容制定具体运维服务计划和日常实施方案；</w:t>
      </w:r>
    </w:p>
    <w:p>
      <w:pPr>
        <w:widowControl/>
        <w:snapToGrid w:val="0"/>
        <w:ind w:left="17" w:right="63" w:firstLine="480"/>
        <w:contextualSpacing/>
        <w:rPr>
          <w:rFonts w:ascii="宋体"/>
          <w:sz w:val="24"/>
        </w:rPr>
      </w:pPr>
      <w:r>
        <w:rPr>
          <w:rFonts w:hint="eastAsia" w:ascii="宋体"/>
          <w:sz w:val="24"/>
        </w:rPr>
        <w:t>2)供应商应设立服务台，开通服务电话和技术支持电话；</w:t>
      </w:r>
    </w:p>
    <w:p>
      <w:pPr>
        <w:widowControl/>
        <w:snapToGrid w:val="0"/>
        <w:ind w:left="17" w:right="63" w:firstLine="480"/>
        <w:contextualSpacing/>
        <w:rPr>
          <w:rFonts w:ascii="宋体"/>
          <w:sz w:val="24"/>
        </w:rPr>
      </w:pPr>
      <w:r>
        <w:rPr>
          <w:rFonts w:hint="eastAsia" w:ascii="宋体"/>
          <w:sz w:val="24"/>
        </w:rPr>
        <w:t>3)供应商应按照用户要求成立服务项目组，项目小组不少于5人，提供服务的工程师不少于1名，具备多年安全服务项目经验或多年集成项目实施经验，项目小组成员至少包含一名信息系统集成及服务管理人员（具有项目经理认证证书），至少包含两名保障人员（具有CISAW认证证书），一名注册信息安全专业人员（具有CISP认证证书）。以上人员需提供证书证明。</w:t>
      </w:r>
    </w:p>
    <w:p>
      <w:pPr>
        <w:widowControl/>
        <w:snapToGrid w:val="0"/>
        <w:ind w:left="17" w:right="63" w:firstLine="480"/>
        <w:contextualSpacing/>
        <w:rPr>
          <w:rFonts w:ascii="宋体"/>
          <w:sz w:val="24"/>
        </w:rPr>
      </w:pPr>
      <w:r>
        <w:rPr>
          <w:rFonts w:hint="eastAsia" w:ascii="宋体"/>
          <w:sz w:val="24"/>
        </w:rPr>
        <w:t>4)本次运维服务过程所涉及的工具类硬件设备，由中标方免费提供并保障设备在运维服务期内的正常使用，应由正规生产厂商生产，无知识产权纠纷等问题，业主方不承担因此产生的所有费用，并且如因下列设备的使用对服务对象产生影响，所产生的损失由中标方承担。</w:t>
      </w:r>
    </w:p>
    <w:p>
      <w:pPr>
        <w:snapToGrid w:val="0"/>
        <w:ind w:firstLine="482"/>
        <w:rPr>
          <w:rFonts w:ascii="宋体"/>
          <w:sz w:val="24"/>
        </w:rPr>
      </w:pPr>
      <w:r>
        <w:rPr>
          <w:rFonts w:hint="eastAsia" w:ascii="宋体"/>
          <w:sz w:val="24"/>
        </w:rPr>
        <w:t>5）中标方须与采购人签订运维工程师保密协议，并提供运维资质证明，合同期内在未得到采购人允许前不得变更人员，否则采购人有权终止合同，投标方承担全部损失。</w:t>
      </w:r>
    </w:p>
    <w:p>
      <w:pPr>
        <w:pStyle w:val="3"/>
        <w:numPr>
          <w:ilvl w:val="1"/>
          <w:numId w:val="0"/>
        </w:numPr>
        <w:tabs>
          <w:tab w:val="left" w:pos="576"/>
        </w:tabs>
        <w:spacing w:line="300" w:lineRule="auto"/>
        <w:ind w:left="576" w:hanging="576"/>
        <w:jc w:val="left"/>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 xml:space="preserve">.3 </w:t>
      </w:r>
      <w:r>
        <w:rPr>
          <w:rFonts w:hint="eastAsia" w:ascii="宋体" w:hAnsi="宋体" w:eastAsia="宋体"/>
          <w:sz w:val="24"/>
          <w:szCs w:val="24"/>
        </w:rPr>
        <w:t>服务工具</w:t>
      </w:r>
    </w:p>
    <w:p>
      <w:pPr>
        <w:snapToGrid w:val="0"/>
        <w:ind w:firstLine="482"/>
        <w:rPr>
          <w:rFonts w:ascii="宋体"/>
          <w:sz w:val="24"/>
        </w:rPr>
      </w:pPr>
      <w:r>
        <w:rPr>
          <w:rFonts w:hint="eastAsia" w:ascii="宋体"/>
          <w:sz w:val="24"/>
        </w:rPr>
        <w:t>在服务过程中提供如下服务工具供用户使用。</w:t>
      </w:r>
    </w:p>
    <w:p>
      <w:pPr>
        <w:pStyle w:val="4"/>
        <w:spacing w:before="160" w:after="160" w:line="240" w:lineRule="auto"/>
        <w:rPr>
          <w:sz w:val="24"/>
          <w:szCs w:val="24"/>
        </w:rPr>
      </w:pPr>
      <w:r>
        <w:rPr>
          <w:rFonts w:hint="eastAsia"/>
          <w:sz w:val="24"/>
          <w:szCs w:val="24"/>
          <w:lang w:val="en-US" w:eastAsia="zh-CN"/>
        </w:rPr>
        <w:t>1</w:t>
      </w:r>
      <w:r>
        <w:rPr>
          <w:sz w:val="24"/>
          <w:szCs w:val="24"/>
        </w:rPr>
        <w:t xml:space="preserve">.3.1 </w:t>
      </w:r>
      <w:r>
        <w:rPr>
          <w:rFonts w:hint="eastAsia"/>
          <w:sz w:val="24"/>
          <w:szCs w:val="24"/>
        </w:rPr>
        <w:t>网络分析工具要求</w:t>
      </w:r>
    </w:p>
    <w:p>
      <w:pPr>
        <w:snapToGrid w:val="0"/>
        <w:ind w:firstLine="482"/>
        <w:rPr>
          <w:rFonts w:ascii="宋体"/>
          <w:sz w:val="24"/>
        </w:rPr>
      </w:pPr>
      <w:r>
        <w:rPr>
          <w:rFonts w:hint="eastAsia" w:ascii="宋体"/>
          <w:sz w:val="24"/>
        </w:rPr>
        <w:t>功能需求：1）界面要求：支持全中文的分析界面和资料文档，支持中英文双语协议解码功能（提供功能截图）。2）故障分析功能：支持故障诊断视图功能，能够智能诊断网络中常见的故障，并提供故障参考原因和解决方法，同时可以对数据包进行深层解码，针对各种网络或应用的疑难杂症，实现数据包封装级别的故障分析和定位。（提供功能截图）。</w:t>
      </w:r>
    </w:p>
    <w:p>
      <w:pPr>
        <w:pStyle w:val="4"/>
        <w:spacing w:before="160" w:after="160" w:line="240" w:lineRule="auto"/>
        <w:rPr>
          <w:sz w:val="24"/>
          <w:szCs w:val="24"/>
        </w:rPr>
      </w:pPr>
      <w:r>
        <w:rPr>
          <w:rFonts w:hint="eastAsia"/>
          <w:sz w:val="24"/>
          <w:szCs w:val="24"/>
          <w:lang w:val="en-US" w:eastAsia="zh-CN"/>
        </w:rPr>
        <w:t>1</w:t>
      </w:r>
      <w:r>
        <w:rPr>
          <w:sz w:val="24"/>
          <w:szCs w:val="24"/>
        </w:rPr>
        <w:t xml:space="preserve">.3.2 </w:t>
      </w:r>
      <w:r>
        <w:rPr>
          <w:rFonts w:hint="eastAsia"/>
          <w:sz w:val="24"/>
          <w:szCs w:val="24"/>
        </w:rPr>
        <w:t>威胁分析工具</w:t>
      </w:r>
    </w:p>
    <w:p>
      <w:pPr>
        <w:snapToGrid w:val="0"/>
        <w:ind w:firstLine="482"/>
        <w:rPr>
          <w:rFonts w:ascii="宋体"/>
          <w:sz w:val="24"/>
        </w:rPr>
      </w:pPr>
      <w:r>
        <w:rPr>
          <w:rFonts w:hint="eastAsia" w:ascii="宋体"/>
          <w:sz w:val="24"/>
        </w:rPr>
        <w:t>功能需求：1）基于双向流量的报警成功失败判断：能够基于双向流量，判断报警成功失败；并且对成功后的危害等级准确识别判定（需提供截图证明）。2）甄别攻击者的目的、诉求和所用资源：通过流量分析，能够判断攻击者是否为针对性攻击；能够获取攻击者的地理位置，IP等信息，并给出在威胁情报中对应的情报信息（需提供截图证明）。3）自动识别和梳理开放后台：利用被动监听技术对企业对外开放后台，和管理页面，进行实时监控；及时发现后台对外情况，能够帮助企业尽快了解风险，并作出对应的响应措施（需提供截图证明）。4）提供终端代理工具进行终端行为分析：可提供终端上的轻量级代理，用于采集终端数据，如进程、文件、注册表等行为，自动联动本地检测中心进行终端恶意行为检测能力；对网络上的告警，可结合告警机器的代理工具采集的日志信息和文件检测信息，定位告警的源头到进程粒度（需提供截图证明）。</w:t>
      </w:r>
    </w:p>
    <w:p>
      <w:pPr>
        <w:pStyle w:val="4"/>
        <w:spacing w:before="160" w:after="160" w:line="240" w:lineRule="auto"/>
        <w:rPr>
          <w:sz w:val="24"/>
          <w:szCs w:val="24"/>
        </w:rPr>
      </w:pPr>
      <w:r>
        <w:rPr>
          <w:rFonts w:hint="eastAsia"/>
          <w:sz w:val="24"/>
          <w:szCs w:val="24"/>
          <w:lang w:val="en-US" w:eastAsia="zh-CN"/>
        </w:rPr>
        <w:t>1</w:t>
      </w:r>
      <w:r>
        <w:rPr>
          <w:sz w:val="24"/>
          <w:szCs w:val="24"/>
        </w:rPr>
        <w:t xml:space="preserve">.3.3 </w:t>
      </w:r>
      <w:r>
        <w:rPr>
          <w:rFonts w:hint="eastAsia"/>
          <w:sz w:val="24"/>
          <w:szCs w:val="24"/>
        </w:rPr>
        <w:t>网站立体监控系统</w:t>
      </w:r>
    </w:p>
    <w:p>
      <w:pPr>
        <w:snapToGrid w:val="0"/>
        <w:ind w:firstLine="482"/>
        <w:rPr>
          <w:rFonts w:ascii="宋体"/>
          <w:sz w:val="24"/>
        </w:rPr>
      </w:pPr>
      <w:r>
        <w:rPr>
          <w:rFonts w:hint="eastAsia" w:ascii="宋体"/>
          <w:sz w:val="24"/>
        </w:rPr>
        <w:t>功能需求：1）检测引擎：支持域名或IP地址形式的Web应用系统安全扫描；支持预登录或指定Cookie、指定Header，对于某些需要特定权限才能访问的网页，可以登录检测；支持自定义网站检测的入口地址。（需提供截图证明）。2）可用性检测：支持检测网站首页响应速度，判断网站是否掉线，支持DNS、Ping、HTTP请求等多种方式探测网站连通速度；支持检测域名劫持。（需提供截图证明）。3）挂马检测：支持云端挂马源址库，采用云端动态行为检测技术与静态特征匹配技术相结合；支持检查该页面所有的文件资源，包括脚本、框架、CSS；（需提供截图证明）。4）暗链检测：支持云端暗链源址库，利用静态分析技术对网页源代码进行分析，查找不可见的外链接，并对这些链接进行云特征匹配；对检测出各类暗链链接，提取相应的链接及关键词扩展"云特征库"；具备数据提取方法、装置及系统功能并提供证明文件；（需提供截图证明）。5）脆弱性检测：SQL注入检测功能，检测网站是否存在SQL注入漏洞。包括对：Get参数的注入检测、Post参数的注入检测、Cookie中变量的注入检测提供SQL注入后续验证功能，如数据库版本识别，数据库名称、用户名等信息的抓取等；支持XSS跨站脚本（CrossSiteScripting）检测，采用动态网页解析技术，准确分析网页脚本；支持网站管理后台弱密码检测；支持网站管理后台地址检测。（需提供截图证明）。</w:t>
      </w:r>
    </w:p>
    <w:p>
      <w:pPr>
        <w:pStyle w:val="4"/>
        <w:spacing w:before="160" w:after="160" w:line="240" w:lineRule="auto"/>
        <w:rPr>
          <w:sz w:val="24"/>
          <w:szCs w:val="24"/>
        </w:rPr>
      </w:pPr>
      <w:r>
        <w:rPr>
          <w:rFonts w:hint="eastAsia"/>
          <w:sz w:val="24"/>
          <w:szCs w:val="24"/>
          <w:lang w:val="en-US" w:eastAsia="zh-CN"/>
        </w:rPr>
        <w:t>1</w:t>
      </w:r>
      <w:r>
        <w:rPr>
          <w:sz w:val="24"/>
          <w:szCs w:val="24"/>
        </w:rPr>
        <w:t xml:space="preserve">.3.4 </w:t>
      </w:r>
      <w:r>
        <w:rPr>
          <w:rFonts w:hint="eastAsia"/>
          <w:sz w:val="24"/>
          <w:szCs w:val="24"/>
        </w:rPr>
        <w:t>集中管理系统</w:t>
      </w:r>
    </w:p>
    <w:p>
      <w:pPr>
        <w:snapToGrid w:val="0"/>
        <w:ind w:firstLine="482"/>
        <w:rPr>
          <w:rFonts w:ascii="宋体"/>
          <w:sz w:val="24"/>
        </w:rPr>
      </w:pPr>
      <w:r>
        <w:rPr>
          <w:rFonts w:hint="eastAsia" w:ascii="宋体"/>
          <w:sz w:val="24"/>
        </w:rPr>
        <w:t>功能需求：1）</w:t>
      </w:r>
      <w:r>
        <w:rPr>
          <w:rFonts w:ascii="宋体"/>
          <w:sz w:val="24"/>
        </w:rPr>
        <w:t>要求提供</w:t>
      </w:r>
      <w:r>
        <w:rPr>
          <w:rFonts w:hint="eastAsia" w:ascii="宋体"/>
          <w:sz w:val="24"/>
        </w:rPr>
        <w:t>集中管理控制</w:t>
      </w:r>
      <w:r>
        <w:rPr>
          <w:rFonts w:ascii="宋体"/>
          <w:sz w:val="24"/>
        </w:rPr>
        <w:t>类软件，包含资产信息管理、性能监控告警、安全事件分析告警、流程工单管理</w:t>
      </w:r>
      <w:r>
        <w:rPr>
          <w:rFonts w:hint="eastAsia" w:ascii="宋体"/>
          <w:sz w:val="24"/>
        </w:rPr>
        <w:t>、</w:t>
      </w:r>
      <w:r>
        <w:rPr>
          <w:rFonts w:ascii="宋体"/>
          <w:sz w:val="24"/>
        </w:rPr>
        <w:t>日志审计等功能，该平台能够符合等保2.0安全管理中心所有要求项，能够辅助符合安全管理体系要求项，提供制度和流程摸板。</w:t>
      </w:r>
      <w:r>
        <w:rPr>
          <w:rFonts w:hint="eastAsia" w:ascii="宋体"/>
          <w:sz w:val="24"/>
        </w:rPr>
        <w:t>（需提供截图证明）；2）提供安全态势、</w:t>
      </w:r>
      <w:r>
        <w:rPr>
          <w:rFonts w:ascii="宋体"/>
          <w:sz w:val="24"/>
        </w:rPr>
        <w:t>漏洞</w:t>
      </w:r>
      <w:r>
        <w:rPr>
          <w:rFonts w:hint="eastAsia" w:ascii="宋体"/>
          <w:sz w:val="24"/>
        </w:rPr>
        <w:t>管理</w:t>
      </w:r>
      <w:r>
        <w:rPr>
          <w:rFonts w:ascii="宋体"/>
          <w:sz w:val="24"/>
        </w:rPr>
        <w:t>、极限核查、弱口令检查、</w:t>
      </w:r>
      <w:r>
        <w:rPr>
          <w:rFonts w:hint="eastAsia" w:ascii="宋体"/>
          <w:sz w:val="24"/>
        </w:rPr>
        <w:t>巡检管理</w:t>
      </w:r>
      <w:r>
        <w:rPr>
          <w:rFonts w:ascii="宋体"/>
          <w:sz w:val="24"/>
        </w:rPr>
        <w:t>等功能，</w:t>
      </w:r>
      <w:r>
        <w:rPr>
          <w:rFonts w:hint="eastAsia" w:ascii="宋体"/>
          <w:sz w:val="24"/>
        </w:rPr>
        <w:t>满足持续安全运维的要求；3）</w:t>
      </w:r>
      <w:r>
        <w:rPr>
          <w:rFonts w:ascii="宋体"/>
          <w:sz w:val="24"/>
        </w:rPr>
        <w:t>提供CMDB功能，基于面向对象的思路，实现资产建模，建模内容包括属性建模，与关系约束建模</w:t>
      </w:r>
      <w:r>
        <w:rPr>
          <w:rFonts w:hint="eastAsia" w:ascii="宋体"/>
          <w:sz w:val="24"/>
        </w:rPr>
        <w:t>；4）</w:t>
      </w:r>
      <w:r>
        <w:rPr>
          <w:rFonts w:ascii="宋体"/>
          <w:sz w:val="24"/>
        </w:rPr>
        <w:t>提供资产全生命周期管理功能，详细记录资产上线到报废过程中所有的管理、变更、配置等信息</w:t>
      </w:r>
      <w:r>
        <w:rPr>
          <w:rFonts w:hint="eastAsia" w:ascii="宋体"/>
          <w:sz w:val="24"/>
        </w:rPr>
        <w:t>；5）提供在线运维操作入口，所有的操作必须通过在线操作入口进行，从而对操作资产的行为进行管控与审计。由在线操作入口对所有的操作进行授权，只有获得授权，才能执行操作。（需提供截图证明）</w:t>
      </w:r>
    </w:p>
    <w:p>
      <w:pPr>
        <w:pStyle w:val="4"/>
        <w:spacing w:before="160" w:after="160" w:line="240" w:lineRule="auto"/>
        <w:rPr>
          <w:sz w:val="24"/>
          <w:szCs w:val="24"/>
        </w:rPr>
      </w:pPr>
      <w:r>
        <w:rPr>
          <w:rFonts w:hint="eastAsia"/>
          <w:sz w:val="24"/>
          <w:szCs w:val="24"/>
          <w:lang w:val="en-US" w:eastAsia="zh-CN"/>
        </w:rPr>
        <w:t>1</w:t>
      </w:r>
      <w:r>
        <w:rPr>
          <w:sz w:val="24"/>
          <w:szCs w:val="24"/>
        </w:rPr>
        <w:t xml:space="preserve">.3.5 </w:t>
      </w:r>
      <w:r>
        <w:rPr>
          <w:rFonts w:hint="eastAsia"/>
          <w:sz w:val="24"/>
          <w:szCs w:val="24"/>
        </w:rPr>
        <w:t>集中管理系统</w:t>
      </w:r>
    </w:p>
    <w:p>
      <w:pPr>
        <w:snapToGrid w:val="0"/>
        <w:ind w:firstLine="482"/>
        <w:rPr>
          <w:rFonts w:hint="eastAsia" w:ascii="宋体"/>
          <w:sz w:val="24"/>
        </w:rPr>
      </w:pPr>
      <w:r>
        <w:rPr>
          <w:rFonts w:hint="eastAsia" w:ascii="宋体"/>
          <w:sz w:val="24"/>
        </w:rPr>
        <w:t>功能需求：1）产品漏洞库涵盖目前的安全漏洞和攻击特征，支持56000种以上漏洞；2）支持扫描主流操作系统、web服务器、网络主机、应用及软件的安全漏洞。（需提供截图证明）</w:t>
      </w:r>
    </w:p>
    <w:p>
      <w:pPr>
        <w:pStyle w:val="8"/>
        <w:rPr>
          <w:rFonts w:ascii="仿宋" w:hAnsi="仿宋" w:eastAsia="仿宋" w:cs="仿宋"/>
          <w:sz w:val="24"/>
          <w:szCs w:val="24"/>
        </w:rPr>
      </w:pPr>
    </w:p>
    <w:p/>
    <w:sectPr>
      <w:pgSz w:w="11907" w:h="16840"/>
      <w:pgMar w:top="1440" w:right="1800" w:bottom="1440"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56EE5"/>
    <w:rsid w:val="03F56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List Paragraph"/>
    <w:basedOn w:val="1"/>
    <w:qFormat/>
    <w:uiPriority w:val="34"/>
    <w:pPr>
      <w:ind w:firstLine="420" w:firstLineChars="200"/>
    </w:pPr>
    <w:rPr>
      <w:rFonts w:asciiTheme="minorHAnsi" w:hAnsiTheme="minorHAnsi" w:eastAsiaTheme="minorEastAsia" w:cstheme="minorBidi"/>
    </w:rPr>
  </w:style>
  <w:style w:type="paragraph" w:customStyle="1" w:styleId="8">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2022-07-25T02:36:00Z</dcterms:created>
  <dc:creator>弥月</dc:creator>
  <cp:lastModifiedBy>弥月</cp:lastModifiedBy>
  <dcterms:modified xsi:type="dcterms:W3CDTF">2022-07-25T02:44:50Z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