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after="468"/>
        <w:ind w:leftChars="0"/>
        <w:jc w:val="both"/>
        <w:rPr>
          <w:rFonts w:ascii="宋体" w:hAnsi="宋体"/>
        </w:rPr>
      </w:pPr>
      <w:bookmarkStart w:id="1" w:name="_GoBack"/>
      <w:bookmarkStart w:id="0" w:name="_Toc116304871"/>
      <w:r>
        <w:rPr>
          <w:rFonts w:hint="eastAsia" w:ascii="宋体" w:hAnsi="宋体"/>
          <w:lang w:eastAsia="zh-CN"/>
        </w:rPr>
        <w:t>附件三：</w:t>
      </w:r>
      <w:bookmarkEnd w:id="0"/>
      <w:r>
        <w:rPr>
          <w:rFonts w:hint="eastAsia" w:ascii="宋体" w:hAnsi="宋体"/>
        </w:rPr>
        <w:t>评分方法</w:t>
      </w:r>
    </w:p>
    <w:bookmarkEnd w:id="1"/>
    <w:p>
      <w:pPr>
        <w:rPr>
          <w:rFonts w:ascii="宋体" w:hAnsi="宋体"/>
          <w:szCs w:val="22"/>
        </w:rPr>
      </w:pPr>
      <w:r>
        <w:rPr>
          <w:rFonts w:ascii="宋体" w:hAnsi="宋体"/>
          <w:szCs w:val="22"/>
        </w:rPr>
        <w:t>本项目</w:t>
      </w:r>
      <w:r>
        <w:rPr>
          <w:rFonts w:hint="eastAsia" w:ascii="宋体" w:hAnsi="宋体"/>
          <w:szCs w:val="22"/>
          <w:lang w:val="en-US" w:eastAsia="zh-CN"/>
        </w:rPr>
        <w:t>价格部分</w:t>
      </w:r>
      <w:r>
        <w:rPr>
          <w:rFonts w:ascii="宋体" w:hAnsi="宋体"/>
          <w:szCs w:val="22"/>
        </w:rPr>
        <w:t xml:space="preserve">分值占总分值的权重为 </w:t>
      </w:r>
      <w:r>
        <w:rPr>
          <w:rFonts w:hint="eastAsia" w:ascii="宋体" w:hAnsi="宋体"/>
          <w:szCs w:val="22"/>
          <w:lang w:val="en-US" w:eastAsia="zh-CN"/>
        </w:rPr>
        <w:t>3</w:t>
      </w:r>
      <w:r>
        <w:rPr>
          <w:rFonts w:ascii="宋体" w:hAnsi="宋体"/>
          <w:szCs w:val="22"/>
        </w:rPr>
        <w:t>0%，</w:t>
      </w:r>
      <w:r>
        <w:rPr>
          <w:rFonts w:hint="eastAsia" w:ascii="宋体" w:hAnsi="宋体"/>
          <w:szCs w:val="22"/>
          <w:lang w:val="en-US" w:eastAsia="zh-CN"/>
        </w:rPr>
        <w:t>商务部分</w:t>
      </w:r>
      <w:r>
        <w:rPr>
          <w:rFonts w:ascii="宋体" w:hAnsi="宋体"/>
          <w:szCs w:val="22"/>
        </w:rPr>
        <w:t xml:space="preserve">分值占总分值的权重为 </w:t>
      </w:r>
      <w:r>
        <w:rPr>
          <w:rFonts w:hint="eastAsia" w:ascii="宋体" w:hAnsi="宋体"/>
          <w:szCs w:val="22"/>
          <w:lang w:val="en-US" w:eastAsia="zh-CN"/>
        </w:rPr>
        <w:t>24</w:t>
      </w:r>
      <w:r>
        <w:rPr>
          <w:rFonts w:ascii="宋体" w:hAnsi="宋体"/>
          <w:szCs w:val="22"/>
        </w:rPr>
        <w:t xml:space="preserve">%， </w:t>
      </w:r>
      <w:r>
        <w:rPr>
          <w:rFonts w:hint="eastAsia" w:ascii="宋体" w:hAnsi="宋体"/>
          <w:szCs w:val="22"/>
          <w:lang w:val="en-US" w:eastAsia="zh-CN"/>
        </w:rPr>
        <w:t>技术</w:t>
      </w:r>
      <w:r>
        <w:rPr>
          <w:rFonts w:ascii="宋体" w:hAnsi="宋体"/>
          <w:szCs w:val="22"/>
        </w:rPr>
        <w:t xml:space="preserve">分值占总分值的权重为 </w:t>
      </w:r>
      <w:r>
        <w:rPr>
          <w:rFonts w:hint="eastAsia" w:ascii="宋体" w:hAnsi="宋体"/>
          <w:szCs w:val="22"/>
          <w:lang w:val="en-US" w:eastAsia="zh-CN"/>
        </w:rPr>
        <w:t>46</w:t>
      </w:r>
      <w:r>
        <w:rPr>
          <w:rFonts w:ascii="宋体" w:hAnsi="宋体"/>
          <w:szCs w:val="22"/>
        </w:rPr>
        <w:t>%。具体评分细则如下：</w:t>
      </w:r>
    </w:p>
    <w:tbl>
      <w:tblPr>
        <w:tblStyle w:val="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994"/>
        <w:gridCol w:w="841"/>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类型</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因素</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要素</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分值</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4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价格</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部分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30</w:t>
            </w:r>
            <w:r>
              <w:rPr>
                <w:rFonts w:hint="eastAsia" w:ascii="宋体" w:hAnsi="宋体" w:eastAsia="宋体" w:cs="宋体"/>
                <w:b w:val="0"/>
                <w:bCs/>
                <w:sz w:val="24"/>
                <w:szCs w:val="24"/>
                <w:highlight w:val="none"/>
              </w:rPr>
              <w:t>分）</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投标</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报价</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lang w:val="en-US"/>
              </w:rPr>
            </w:pPr>
            <w:r>
              <w:rPr>
                <w:rFonts w:hint="eastAsia" w:ascii="宋体" w:hAnsi="宋体" w:eastAsia="宋体" w:cs="宋体"/>
                <w:b w:val="0"/>
                <w:bCs/>
                <w:sz w:val="24"/>
                <w:szCs w:val="24"/>
                <w:highlight w:val="none"/>
                <w:lang w:val="en-US" w:eastAsia="zh-CN"/>
              </w:rPr>
              <w:t>30</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采用低价优先法计算，即：满足</w:t>
            </w:r>
            <w:r>
              <w:rPr>
                <w:rFonts w:hint="eastAsia" w:ascii="宋体" w:hAnsi="宋体" w:eastAsia="宋体" w:cs="宋体"/>
                <w:b w:val="0"/>
                <w:bCs/>
                <w:sz w:val="24"/>
                <w:szCs w:val="24"/>
                <w:highlight w:val="none"/>
                <w:lang w:val="en-US" w:eastAsia="zh-CN"/>
              </w:rPr>
              <w:t>磋商</w:t>
            </w:r>
            <w:r>
              <w:rPr>
                <w:rFonts w:hint="eastAsia" w:ascii="宋体" w:hAnsi="宋体" w:eastAsia="宋体" w:cs="宋体"/>
                <w:b w:val="0"/>
                <w:bCs/>
                <w:sz w:val="24"/>
                <w:szCs w:val="24"/>
                <w:highlight w:val="none"/>
              </w:rPr>
              <w:t>文件要求且</w:t>
            </w:r>
            <w:r>
              <w:rPr>
                <w:rFonts w:hint="eastAsia" w:ascii="宋体" w:hAnsi="宋体" w:eastAsia="宋体" w:cs="宋体"/>
                <w:b w:val="0"/>
                <w:bCs/>
                <w:sz w:val="24"/>
                <w:szCs w:val="24"/>
                <w:highlight w:val="none"/>
                <w:lang w:eastAsia="zh-CN"/>
              </w:rPr>
              <w:t>投标报价</w:t>
            </w:r>
            <w:r>
              <w:rPr>
                <w:rFonts w:hint="eastAsia" w:ascii="宋体" w:hAnsi="宋体" w:eastAsia="宋体" w:cs="宋体"/>
                <w:b w:val="0"/>
                <w:bCs/>
                <w:sz w:val="24"/>
                <w:szCs w:val="24"/>
                <w:highlight w:val="none"/>
              </w:rPr>
              <w:t>最低为评标基准价，其价格分为</w:t>
            </w:r>
            <w:r>
              <w:rPr>
                <w:rFonts w:hint="eastAsia" w:ascii="宋体" w:hAnsi="宋体" w:eastAsia="宋体" w:cs="宋体"/>
                <w:b w:val="0"/>
                <w:bCs/>
                <w:sz w:val="24"/>
                <w:szCs w:val="24"/>
                <w:highlight w:val="none"/>
                <w:lang w:val="en-US" w:eastAsia="zh-CN"/>
              </w:rPr>
              <w:t>30</w:t>
            </w:r>
            <w:r>
              <w:rPr>
                <w:rFonts w:hint="eastAsia" w:ascii="宋体" w:hAnsi="宋体" w:eastAsia="宋体" w:cs="宋体"/>
                <w:b w:val="0"/>
                <w:bCs/>
                <w:sz w:val="24"/>
                <w:szCs w:val="24"/>
                <w:highlight w:val="none"/>
              </w:rPr>
              <w:t>分。其他投标人的价格分统一按照下列公式计算：投标报价得分=(评标基准价／</w:t>
            </w:r>
            <w:r>
              <w:rPr>
                <w:rFonts w:hint="eastAsia" w:ascii="宋体" w:hAnsi="宋体" w:eastAsia="宋体" w:cs="宋体"/>
                <w:b w:val="0"/>
                <w:bCs/>
                <w:sz w:val="24"/>
                <w:szCs w:val="24"/>
                <w:highlight w:val="none"/>
                <w:lang w:eastAsia="zh-CN"/>
              </w:rPr>
              <w:t>投标报价</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商务</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部分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24</w:t>
            </w:r>
            <w:r>
              <w:rPr>
                <w:rFonts w:hint="eastAsia" w:ascii="宋体" w:hAnsi="宋体" w:eastAsia="宋体" w:cs="宋体"/>
                <w:b w:val="0"/>
                <w:bCs/>
                <w:sz w:val="24"/>
                <w:szCs w:val="24"/>
                <w:highlight w:val="none"/>
              </w:rPr>
              <w:t>分）</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企业</w:t>
            </w:r>
            <w:r>
              <w:rPr>
                <w:rFonts w:hint="eastAsia" w:ascii="宋体" w:hAnsi="宋体" w:cs="宋体"/>
                <w:b w:val="0"/>
                <w:bCs/>
                <w:sz w:val="24"/>
                <w:szCs w:val="24"/>
                <w:highlight w:val="none"/>
                <w:lang w:val="en-US" w:eastAsia="zh-CN"/>
              </w:rPr>
              <w:t>能力</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9</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投标人能力（9分）（证书取得时间须在本项目招标公告发布日期之前。）</w:t>
            </w:r>
          </w:p>
          <w:p>
            <w:pPr>
              <w:widowControl w:val="0"/>
              <w:numPr>
                <w:ilvl w:val="0"/>
                <w:numId w:val="2"/>
              </w:numPr>
              <w:spacing w:line="240" w:lineRule="auto"/>
              <w:ind w:left="720" w:hanging="72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投标供应商具有软件企业证书的得3分。（投标文件中提供证书复印件或扫描件并加盖公章，原件中标后备查。）</w:t>
            </w:r>
          </w:p>
          <w:p>
            <w:pPr>
              <w:widowControl w:val="0"/>
              <w:numPr>
                <w:ilvl w:val="0"/>
                <w:numId w:val="2"/>
              </w:numPr>
              <w:spacing w:line="240" w:lineRule="auto"/>
              <w:ind w:left="720" w:hanging="720" w:firstLineChars="0"/>
              <w:jc w:val="both"/>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SA"/>
              </w:rPr>
              <w:t>投标供应商提供</w:t>
            </w:r>
            <w:r>
              <w:rPr>
                <w:rFonts w:hint="eastAsia" w:ascii="宋体" w:hAnsi="宋体" w:eastAsia="宋体" w:cs="宋体"/>
                <w:color w:val="auto"/>
                <w:kern w:val="2"/>
                <w:sz w:val="24"/>
                <w:szCs w:val="24"/>
                <w:highlight w:val="none"/>
                <w:shd w:val="clear" w:color="auto" w:fill="auto"/>
                <w:lang w:val="en-US" w:eastAsia="zh-CN" w:bidi="ar-SA"/>
              </w:rPr>
              <w:t>含有“电子病历、病案管理、报表工具”意同字样的著作权证书</w:t>
            </w:r>
            <w:r>
              <w:rPr>
                <w:rFonts w:hint="eastAsia" w:ascii="宋体" w:hAnsi="宋体" w:eastAsia="宋体" w:cs="宋体"/>
                <w:color w:val="auto"/>
                <w:kern w:val="2"/>
                <w:sz w:val="24"/>
                <w:szCs w:val="24"/>
                <w:lang w:val="en-US" w:eastAsia="zh-CN" w:bidi="ar-SA"/>
              </w:rPr>
              <w:t>，每提供一个得2分，满分6分。）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lang w:eastAsia="zh-CN"/>
              </w:rPr>
            </w:pPr>
            <w:r>
              <w:rPr>
                <w:rFonts w:hint="eastAsia" w:ascii="宋体" w:hAnsi="宋体" w:cs="宋体"/>
                <w:b w:val="0"/>
                <w:bCs/>
                <w:sz w:val="24"/>
                <w:szCs w:val="24"/>
                <w:highlight w:val="none"/>
                <w:lang w:val="en-US" w:eastAsia="zh-CN"/>
              </w:rPr>
              <w:t>企业</w:t>
            </w:r>
            <w:r>
              <w:rPr>
                <w:rFonts w:hint="eastAsia" w:ascii="宋体" w:hAnsi="宋体" w:eastAsia="宋体" w:cs="宋体"/>
                <w:b w:val="0"/>
                <w:bCs/>
                <w:sz w:val="24"/>
                <w:szCs w:val="24"/>
                <w:highlight w:val="none"/>
                <w:lang w:eastAsia="zh-CN"/>
              </w:rPr>
              <w:t>业绩</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b w:val="0"/>
                <w:bCs/>
                <w:sz w:val="24"/>
                <w:szCs w:val="24"/>
                <w:highlight w:val="none"/>
                <w:lang w:val="en-US" w:eastAsia="zh-CN"/>
              </w:rPr>
            </w:pPr>
            <w:r>
              <w:rPr>
                <w:rFonts w:hint="eastAsia" w:ascii="宋体" w:hAnsi="宋体" w:cs="宋体"/>
                <w:b w:val="0"/>
                <w:bCs/>
                <w:sz w:val="24"/>
                <w:szCs w:val="24"/>
                <w:highlight w:val="none"/>
                <w:lang w:val="en-US" w:eastAsia="zh-CN"/>
              </w:rPr>
              <w:t>9</w:t>
            </w:r>
          </w:p>
        </w:tc>
        <w:tc>
          <w:tcPr>
            <w:tcW w:w="6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提供202</w:t>
            </w:r>
            <w:r>
              <w:rPr>
                <w:rFonts w:hint="eastAsia" w:ascii="宋体" w:hAnsi="宋体" w:cs="宋体"/>
                <w:b w:val="0"/>
                <w:bCs/>
                <w:sz w:val="24"/>
                <w:szCs w:val="24"/>
                <w:highlight w:val="none"/>
                <w:lang w:val="en-US" w:eastAsia="zh-CN"/>
              </w:rPr>
              <w:t>2</w:t>
            </w:r>
            <w:r>
              <w:rPr>
                <w:rFonts w:hint="eastAsia" w:ascii="宋体" w:hAnsi="宋体" w:eastAsia="宋体" w:cs="宋体"/>
                <w:b w:val="0"/>
                <w:bCs/>
                <w:sz w:val="24"/>
                <w:szCs w:val="24"/>
                <w:highlight w:val="none"/>
                <w:lang w:val="en-US" w:eastAsia="zh-CN"/>
              </w:rPr>
              <w:t>年1月1日以来类似业绩1份得</w:t>
            </w:r>
            <w:r>
              <w:rPr>
                <w:rFonts w:hint="eastAsia" w:ascii="宋体" w:hAnsi="宋体" w:cs="宋体"/>
                <w:b w:val="0"/>
                <w:bCs/>
                <w:sz w:val="24"/>
                <w:szCs w:val="24"/>
                <w:highlight w:val="none"/>
                <w:lang w:val="en-US" w:eastAsia="zh-CN"/>
              </w:rPr>
              <w:t>3</w:t>
            </w:r>
            <w:r>
              <w:rPr>
                <w:rFonts w:hint="eastAsia" w:ascii="宋体" w:hAnsi="宋体" w:eastAsia="宋体" w:cs="宋体"/>
                <w:b w:val="0"/>
                <w:bCs/>
                <w:sz w:val="24"/>
                <w:szCs w:val="24"/>
                <w:highlight w:val="none"/>
                <w:lang w:val="en-US" w:eastAsia="zh-CN"/>
              </w:rPr>
              <w:t>分，最多得</w:t>
            </w:r>
            <w:r>
              <w:rPr>
                <w:rFonts w:hint="eastAsia" w:ascii="宋体" w:hAnsi="宋体" w:cs="宋体"/>
                <w:b w:val="0"/>
                <w:bCs/>
                <w:sz w:val="24"/>
                <w:szCs w:val="24"/>
                <w:highlight w:val="none"/>
                <w:lang w:val="en-US" w:eastAsia="zh-CN"/>
              </w:rPr>
              <w:t>9</w:t>
            </w:r>
            <w:r>
              <w:rPr>
                <w:rFonts w:hint="eastAsia" w:ascii="宋体" w:hAnsi="宋体" w:eastAsia="宋体" w:cs="宋体"/>
                <w:b w:val="0"/>
                <w:bCs/>
                <w:sz w:val="24"/>
                <w:szCs w:val="24"/>
                <w:highlight w:val="none"/>
                <w:lang w:val="en-US" w:eastAsia="zh-CN"/>
              </w:rPr>
              <w:t>分。（业绩以合同签订时间为准，需附合同协议书）</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b w:val="0"/>
                <w:bCs/>
                <w:sz w:val="24"/>
                <w:szCs w:val="24"/>
                <w:highlight w:val="none"/>
                <w:lang w:val="en-US" w:eastAsia="zh-CN"/>
              </w:rPr>
            </w:pPr>
            <w:r>
              <w:rPr>
                <w:rFonts w:ascii="Calibri" w:hAnsi="Calibri" w:eastAsia="宋体" w:cs="Times New Roman"/>
                <w:color w:val="auto"/>
                <w:kern w:val="2"/>
                <w:sz w:val="21"/>
                <w:szCs w:val="22"/>
                <w:lang w:val="en-US" w:eastAsia="zh-CN" w:bidi="ar-SA"/>
              </w:rPr>
              <w:t>技术服务承诺</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6</w:t>
            </w:r>
          </w:p>
        </w:tc>
        <w:tc>
          <w:tcPr>
            <w:tcW w:w="6559"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投标人须提供承诺本项目产品可以与医院现有的门诊电子病历系统无缝对接，</w:t>
            </w:r>
            <w:r>
              <w:rPr>
                <w:rFonts w:hint="eastAsia" w:ascii="宋体" w:hAnsi="宋体" w:eastAsia="宋体" w:cs="宋体"/>
                <w:b w:val="0"/>
                <w:bCs/>
                <w:sz w:val="24"/>
                <w:szCs w:val="24"/>
                <w:highlight w:val="none"/>
                <w:lang w:val="en-US" w:eastAsia="zh-CN"/>
              </w:rPr>
              <w:t>承诺系统衔接过程中所发生的一切费用由本项目中标商独立承担的得3分；</w:t>
            </w:r>
            <w:r>
              <w:rPr>
                <w:rFonts w:hint="eastAsia" w:eastAsia="宋体" w:cs="Times New Roman"/>
              </w:rPr>
              <w:t>（</w:t>
            </w:r>
            <w:r>
              <w:rPr>
                <w:rFonts w:hint="eastAsia" w:ascii="宋体" w:hAnsi="宋体" w:eastAsia="宋体" w:cs="宋体"/>
                <w:b/>
                <w:bCs/>
              </w:rPr>
              <w:t>需在</w:t>
            </w:r>
            <w:r>
              <w:rPr>
                <w:rFonts w:hint="eastAsia" w:ascii="宋体" w:hAnsi="宋体" w:eastAsia="宋体" w:cs="宋体"/>
                <w:b/>
                <w:bCs/>
                <w:lang w:val="en-US" w:eastAsia="zh-CN"/>
              </w:rPr>
              <w:t>投标</w:t>
            </w:r>
            <w:r>
              <w:rPr>
                <w:rFonts w:hint="eastAsia" w:ascii="宋体" w:hAnsi="宋体" w:eastAsia="宋体" w:cs="宋体"/>
                <w:b/>
                <w:bCs/>
              </w:rPr>
              <w:t>文件中承诺，未承诺</w:t>
            </w:r>
            <w:r>
              <w:rPr>
                <w:rFonts w:hint="eastAsia" w:ascii="宋体" w:hAnsi="宋体" w:eastAsia="宋体" w:cs="宋体"/>
                <w:b/>
                <w:bCs/>
                <w:lang w:val="en-US" w:eastAsia="zh-CN"/>
              </w:rPr>
              <w:t>或承诺不全</w:t>
            </w:r>
            <w:r>
              <w:rPr>
                <w:rFonts w:hint="eastAsia" w:ascii="宋体" w:hAnsi="宋体" w:eastAsia="宋体" w:cs="宋体"/>
                <w:b/>
                <w:bCs/>
              </w:rPr>
              <w:t>的不得分）</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投标人须提供承诺本项目产品可以与医院现有的</w:t>
            </w:r>
            <w:r>
              <w:rPr>
                <w:rFonts w:hint="eastAsia" w:ascii="宋体" w:hAnsi="宋体" w:cs="宋体"/>
                <w:b w:val="0"/>
                <w:bCs/>
                <w:sz w:val="24"/>
                <w:szCs w:val="24"/>
                <w:highlight w:val="none"/>
                <w:lang w:val="en-US" w:eastAsia="zh-CN"/>
              </w:rPr>
              <w:t>HIS系统</w:t>
            </w:r>
            <w:r>
              <w:rPr>
                <w:rFonts w:hint="eastAsia" w:ascii="宋体" w:hAnsi="宋体" w:eastAsia="宋体" w:cs="宋体"/>
                <w:b w:val="0"/>
                <w:bCs/>
                <w:sz w:val="24"/>
                <w:szCs w:val="24"/>
                <w:highlight w:val="none"/>
                <w:lang w:val="en-US" w:eastAsia="zh-CN"/>
              </w:rPr>
              <w:t>无缝对接，承诺系统衔接过程中所发生的一切费用由本项目中标商独立承担的得3分；</w:t>
            </w:r>
            <w:r>
              <w:rPr>
                <w:rFonts w:hint="eastAsia" w:eastAsia="宋体" w:cs="Times New Roman"/>
              </w:rPr>
              <w:t>（</w:t>
            </w:r>
            <w:r>
              <w:rPr>
                <w:rFonts w:hint="eastAsia" w:ascii="宋体" w:hAnsi="宋体" w:eastAsia="宋体" w:cs="宋体"/>
                <w:b/>
                <w:bCs/>
              </w:rPr>
              <w:t>需在</w:t>
            </w:r>
            <w:r>
              <w:rPr>
                <w:rFonts w:hint="eastAsia" w:ascii="宋体" w:hAnsi="宋体" w:eastAsia="宋体" w:cs="宋体"/>
                <w:b/>
                <w:bCs/>
                <w:lang w:val="en-US" w:eastAsia="zh-CN"/>
              </w:rPr>
              <w:t>投标</w:t>
            </w:r>
            <w:r>
              <w:rPr>
                <w:rFonts w:hint="eastAsia" w:ascii="宋体" w:hAnsi="宋体" w:eastAsia="宋体" w:cs="宋体"/>
                <w:b/>
                <w:bCs/>
              </w:rPr>
              <w:t>文件中承诺，未承诺</w:t>
            </w:r>
            <w:r>
              <w:rPr>
                <w:rFonts w:hint="eastAsia" w:ascii="宋体" w:hAnsi="宋体" w:eastAsia="宋体" w:cs="宋体"/>
                <w:b/>
                <w:bCs/>
                <w:lang w:val="en-US" w:eastAsia="zh-CN"/>
              </w:rPr>
              <w:t>或承诺不全</w:t>
            </w:r>
            <w:r>
              <w:rPr>
                <w:rFonts w:hint="eastAsia" w:ascii="宋体" w:hAnsi="宋体" w:eastAsia="宋体" w:cs="宋体"/>
                <w:b/>
                <w:bCs/>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24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技术</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部分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r>
              <w:rPr>
                <w:rFonts w:hint="eastAsia" w:ascii="宋体" w:hAnsi="宋体" w:cs="宋体"/>
                <w:b w:val="0"/>
                <w:bCs/>
                <w:sz w:val="24"/>
                <w:szCs w:val="24"/>
                <w:highlight w:val="none"/>
                <w:lang w:val="en-US" w:eastAsia="zh-CN"/>
              </w:rPr>
              <w:t>46</w:t>
            </w:r>
            <w:r>
              <w:rPr>
                <w:rFonts w:hint="eastAsia" w:ascii="宋体" w:hAnsi="宋体" w:eastAsia="宋体" w:cs="宋体"/>
                <w:b w:val="0"/>
                <w:bCs/>
                <w:sz w:val="24"/>
                <w:szCs w:val="24"/>
                <w:highlight w:val="none"/>
              </w:rPr>
              <w:t>分）</w:t>
            </w:r>
          </w:p>
        </w:tc>
        <w:tc>
          <w:tcPr>
            <w:tcW w:w="994" w:type="dxa"/>
            <w:noWrap w:val="0"/>
            <w:vAlign w:val="center"/>
          </w:tcPr>
          <w:p>
            <w:pPr>
              <w:snapToGrid w:val="0"/>
              <w:spacing w:line="288"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项目</w:t>
            </w:r>
          </w:p>
          <w:p>
            <w:pPr>
              <w:snapToGrid w:val="0"/>
              <w:spacing w:line="288"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需求</w:t>
            </w:r>
          </w:p>
          <w:p>
            <w:pPr>
              <w:snapToGrid w:val="0"/>
              <w:spacing w:line="288"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sz w:val="24"/>
                <w:szCs w:val="24"/>
                <w:highlight w:val="none"/>
                <w:lang w:eastAsia="zh-CN"/>
              </w:rPr>
              <w:t>理解</w:t>
            </w:r>
          </w:p>
        </w:tc>
        <w:tc>
          <w:tcPr>
            <w:tcW w:w="841" w:type="dxa"/>
            <w:noWrap w:val="0"/>
            <w:vAlign w:val="center"/>
          </w:tcPr>
          <w:p>
            <w:pPr>
              <w:snapToGrid w:val="0"/>
              <w:spacing w:line="288" w:lineRule="auto"/>
              <w:jc w:val="center"/>
              <w:rPr>
                <w:rFonts w:hint="default" w:ascii="宋体" w:hAnsi="宋体" w:eastAsia="宋体" w:cs="宋体"/>
                <w:b w:val="0"/>
                <w:bCs/>
                <w:sz w:val="24"/>
                <w:szCs w:val="24"/>
                <w:highlight w:val="none"/>
                <w:lang w:val="en-US" w:eastAsia="zh-CN"/>
              </w:rPr>
            </w:pPr>
            <w:r>
              <w:rPr>
                <w:rFonts w:hint="eastAsia" w:ascii="宋体" w:hAnsi="宋体" w:cs="宋体"/>
                <w:bCs/>
                <w:color w:val="auto"/>
                <w:sz w:val="24"/>
                <w:szCs w:val="24"/>
                <w:highlight w:val="none"/>
                <w:lang w:val="en-US" w:eastAsia="zh-CN"/>
              </w:rPr>
              <w:t>15</w:t>
            </w:r>
          </w:p>
        </w:tc>
        <w:tc>
          <w:tcPr>
            <w:tcW w:w="6559" w:type="dxa"/>
            <w:noWrap w:val="0"/>
            <w:vAlign w:val="center"/>
          </w:tcPr>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根据投标人对项目需求理解情况（包括对相关业务情况及工作规程认识程度、对系统功能流程、数据来源及口径熟悉程度，对系统涉及的各项功能、系统应用部署的理解分析情况）进行评审：</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对项目需求的理解深入，对相关业务情况及工作规程认识程度以及对各项功能流程、数据来源和口径掌握非常熟悉，对系统涉及的各项功能、系统应用部署的理解分析非常深入、全面的，得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lang w:val="en-US" w:eastAsia="zh-CN"/>
              </w:rPr>
              <w:t>分；</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对项目需求的理解较为深入，对相关业务情况及工作规程认识程度以及对各项功能流程、数据来源和口径掌握较为熟悉，对系统涉及的各项功能、系统应用部署的理解分析较为深入、全面的，得</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对项目需求的理解不够深入，对相关业务情况及工作规程认识程度以及对各项功能流程、数据来源和口径掌握不够熟悉，对系统涉及的各项功能、系统应用部署的理解分析不是很深入、不够全面的，得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w:t>
            </w:r>
          </w:p>
          <w:p>
            <w:pPr>
              <w:snapToGrid w:val="0"/>
              <w:spacing w:line="240" w:lineRule="auto"/>
              <w:jc w:val="left"/>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sz w:val="24"/>
                <w:szCs w:val="24"/>
                <w:highlight w:val="none"/>
                <w:lang w:val="en-US" w:eastAsia="zh-CN"/>
              </w:rPr>
              <w:t>没有针对本项目提供需求理解的不得分。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p>
        </w:tc>
        <w:tc>
          <w:tcPr>
            <w:tcW w:w="994" w:type="dxa"/>
            <w:noWrap w:val="0"/>
            <w:vAlign w:val="center"/>
          </w:tcPr>
          <w:p>
            <w:pPr>
              <w:snapToGrid w:val="0"/>
              <w:spacing w:line="288" w:lineRule="auto"/>
              <w:jc w:val="center"/>
              <w:rPr>
                <w:rFonts w:hint="eastAsia" w:ascii="宋体" w:hAnsi="宋体" w:eastAsia="宋体" w:cs="宋体"/>
                <w:sz w:val="24"/>
                <w:szCs w:val="24"/>
                <w:highlight w:val="none"/>
                <w:lang w:eastAsia="zh-CN"/>
              </w:rPr>
            </w:pPr>
          </w:p>
          <w:p>
            <w:pPr>
              <w:snapToGrid w:val="0"/>
              <w:spacing w:line="288"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w:t>
            </w:r>
          </w:p>
          <w:p>
            <w:pPr>
              <w:snapToGrid w:val="0"/>
              <w:spacing w:line="288"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sz w:val="24"/>
                <w:szCs w:val="24"/>
                <w:highlight w:val="none"/>
                <w:lang w:eastAsia="zh-CN"/>
              </w:rPr>
              <w:t>方案</w:t>
            </w:r>
          </w:p>
        </w:tc>
        <w:tc>
          <w:tcPr>
            <w:tcW w:w="841" w:type="dxa"/>
            <w:noWrap w:val="0"/>
            <w:vAlign w:val="center"/>
          </w:tcPr>
          <w:p>
            <w:pPr>
              <w:snapToGrid w:val="0"/>
              <w:spacing w:line="288"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bCs/>
                <w:color w:val="auto"/>
                <w:sz w:val="24"/>
                <w:szCs w:val="24"/>
                <w:highlight w:val="none"/>
                <w:lang w:val="en-US" w:eastAsia="zh-CN"/>
              </w:rPr>
              <w:t>1</w:t>
            </w:r>
            <w:r>
              <w:rPr>
                <w:rFonts w:hint="eastAsia" w:ascii="宋体" w:hAnsi="宋体" w:cs="宋体"/>
                <w:bCs/>
                <w:color w:val="auto"/>
                <w:sz w:val="24"/>
                <w:szCs w:val="24"/>
                <w:highlight w:val="none"/>
                <w:lang w:val="en-US" w:eastAsia="zh-CN"/>
              </w:rPr>
              <w:t>5</w:t>
            </w:r>
          </w:p>
        </w:tc>
        <w:tc>
          <w:tcPr>
            <w:tcW w:w="6559" w:type="dxa"/>
            <w:noWrap w:val="0"/>
            <w:vAlign w:val="center"/>
          </w:tcPr>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根据投标人针对本项目特点提供的服务方案（包括但不限于服务的具体内容、具体流程、质量标准、响应时间等内容）科学性、合理性、可操作性和满足需求情况进行评审：</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方案详细具体、科学合理、针对性强、契合度高、服务保障能力强、完全满足服务需求的，得10分；</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方案较详细、较合理、针对性较强、契合度较高、服务保障能力较强，基本满足服务需求的，得6分；</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方案基本合理、针对性一般、服务保障能力一般，勉强满足项目需求的，得2分；</w:t>
            </w:r>
          </w:p>
          <w:p>
            <w:pPr>
              <w:snapToGrid w:val="0"/>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没有提供运维服务方案的不得分。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sz w:val="24"/>
                <w:szCs w:val="24"/>
                <w:highlight w:val="none"/>
              </w:rPr>
            </w:pPr>
          </w:p>
          <w:p>
            <w:pPr>
              <w:pStyle w:val="4"/>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sz w:val="24"/>
                <w:szCs w:val="24"/>
                <w:highlight w:val="none"/>
              </w:rPr>
            </w:pPr>
          </w:p>
        </w:tc>
        <w:tc>
          <w:tcPr>
            <w:tcW w:w="994" w:type="dxa"/>
            <w:noWrap w:val="0"/>
            <w:vAlign w:val="center"/>
          </w:tcPr>
          <w:p>
            <w:pPr>
              <w:snapToGrid w:val="0"/>
              <w:spacing w:line="288" w:lineRule="auto"/>
              <w:jc w:val="center"/>
              <w:rPr>
                <w:rFonts w:hint="eastAsia" w:ascii="宋体" w:hAnsi="宋体" w:eastAsia="宋体" w:cs="宋体"/>
                <w:b w:val="0"/>
                <w:bCs/>
                <w:sz w:val="24"/>
                <w:szCs w:val="24"/>
                <w:highlight w:val="none"/>
                <w:lang w:val="en-US" w:eastAsia="zh-CN"/>
              </w:rPr>
            </w:pPr>
            <w:r>
              <w:rPr>
                <w:rFonts w:hint="eastAsia" w:ascii="宋体" w:hAnsi="宋体" w:eastAsia="宋体" w:cs="宋体"/>
                <w:bCs/>
                <w:color w:val="auto"/>
                <w:sz w:val="24"/>
                <w:szCs w:val="24"/>
                <w:highlight w:val="none"/>
                <w:lang w:val="en-US" w:eastAsia="zh-CN"/>
              </w:rPr>
              <w:t>质量保障措施</w:t>
            </w:r>
          </w:p>
        </w:tc>
        <w:tc>
          <w:tcPr>
            <w:tcW w:w="841" w:type="dxa"/>
            <w:noWrap w:val="0"/>
            <w:vAlign w:val="center"/>
          </w:tcPr>
          <w:p>
            <w:pPr>
              <w:snapToGrid w:val="0"/>
              <w:spacing w:line="288" w:lineRule="auto"/>
              <w:jc w:val="center"/>
              <w:rPr>
                <w:rFonts w:hint="default" w:ascii="宋体" w:hAnsi="宋体" w:eastAsia="宋体" w:cs="宋体"/>
                <w:b w:val="0"/>
                <w:bCs/>
                <w:sz w:val="24"/>
                <w:szCs w:val="24"/>
                <w:highlight w:val="none"/>
                <w:lang w:val="en-US" w:eastAsia="zh-CN"/>
              </w:rPr>
            </w:pPr>
            <w:r>
              <w:rPr>
                <w:rFonts w:hint="eastAsia" w:ascii="宋体" w:hAnsi="宋体" w:eastAsia="宋体" w:cs="宋体"/>
                <w:bCs/>
                <w:color w:val="auto"/>
                <w:sz w:val="24"/>
                <w:szCs w:val="24"/>
                <w:highlight w:val="none"/>
                <w:lang w:val="en-US" w:eastAsia="zh-CN"/>
              </w:rPr>
              <w:t>10</w:t>
            </w:r>
          </w:p>
        </w:tc>
        <w:tc>
          <w:tcPr>
            <w:tcW w:w="6559" w:type="dxa"/>
            <w:noWrap w:val="0"/>
            <w:vAlign w:val="center"/>
          </w:tcPr>
          <w:p>
            <w:pPr>
              <w:snapToGrid w:val="0"/>
              <w:spacing w:line="240" w:lineRule="auto"/>
              <w:jc w:val="left"/>
              <w:rPr>
                <w:rFonts w:hint="eastAsia" w:ascii="宋体" w:hAnsi="宋体" w:eastAsia="宋体" w:cs="宋体"/>
                <w:sz w:val="24"/>
                <w:szCs w:val="24"/>
                <w:highlight w:val="none"/>
                <w:lang w:val="en-US" w:eastAsia="zh-CN"/>
              </w:rPr>
            </w:pPr>
            <w:r>
              <w:t>投标产品制造厂家或投标人设立了健全的售后服务机构网点，有详细的售后服务机构名单、地址、服务电话和维修人员名单等。</w:t>
            </w:r>
            <w:r>
              <w:rPr>
                <w:rFonts w:hint="eastAsia" w:ascii="宋体" w:hAnsi="宋体" w:eastAsia="宋体" w:cs="宋体"/>
                <w:sz w:val="24"/>
                <w:szCs w:val="24"/>
                <w:highlight w:val="none"/>
                <w:lang w:val="en-US" w:eastAsia="zh-CN"/>
              </w:rPr>
              <w:t>进行评审：</w:t>
            </w:r>
          </w:p>
          <w:p>
            <w:pPr>
              <w:snapToGrid w:val="0"/>
              <w:spacing w:line="240" w:lineRule="auto"/>
              <w:jc w:val="left"/>
            </w:pPr>
            <w:r>
              <w:t>在芜湖市（含四县）能提供本地化售后服务的，得</w:t>
            </w:r>
            <w:r>
              <w:rPr>
                <w:rFonts w:hint="eastAsia"/>
                <w:lang w:val="en-US" w:eastAsia="zh-CN"/>
              </w:rPr>
              <w:t>10</w:t>
            </w:r>
            <w:r>
              <w:t>分；</w:t>
            </w:r>
          </w:p>
          <w:p>
            <w:pPr>
              <w:snapToGrid w:val="0"/>
              <w:spacing w:line="240" w:lineRule="auto"/>
              <w:jc w:val="left"/>
            </w:pPr>
            <w:r>
              <w:t>在芜湖市（含四县）能提供委托本地化售后服务的，得</w:t>
            </w:r>
            <w:r>
              <w:rPr>
                <w:rFonts w:hint="eastAsia"/>
                <w:lang w:val="en-US" w:eastAsia="zh-CN"/>
              </w:rPr>
              <w:t>5</w:t>
            </w:r>
            <w:r>
              <w:t>分；</w:t>
            </w:r>
          </w:p>
          <w:p>
            <w:pPr>
              <w:snapToGrid w:val="0"/>
              <w:spacing w:line="240" w:lineRule="auto"/>
              <w:jc w:val="left"/>
              <w:rPr>
                <w:rFonts w:hint="eastAsia" w:ascii="宋体" w:hAnsi="宋体" w:eastAsia="宋体" w:cs="宋体"/>
                <w:b w:val="0"/>
                <w:bCs/>
                <w:color w:val="auto"/>
                <w:sz w:val="24"/>
                <w:szCs w:val="24"/>
                <w:highlight w:val="none"/>
                <w:lang w:val="en-US" w:eastAsia="zh-CN"/>
              </w:rPr>
            </w:pPr>
            <w: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8" w:hRule="atLeast"/>
          <w:jc w:val="center"/>
        </w:trPr>
        <w:tc>
          <w:tcPr>
            <w:tcW w:w="124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p>
        </w:tc>
        <w:tc>
          <w:tcPr>
            <w:tcW w:w="994" w:type="dxa"/>
            <w:noWrap w:val="0"/>
            <w:vAlign w:val="center"/>
          </w:tcPr>
          <w:p>
            <w:pPr>
              <w:snapToGrid w:val="0"/>
              <w:spacing w:line="288" w:lineRule="auto"/>
              <w:jc w:val="center"/>
              <w:rPr>
                <w:rFonts w:hint="eastAsia" w:ascii="宋体" w:hAnsi="宋体" w:eastAsia="宋体" w:cs="宋体"/>
                <w:bCs/>
                <w:color w:val="auto"/>
                <w:sz w:val="24"/>
                <w:szCs w:val="24"/>
                <w:highlight w:val="none"/>
                <w:lang w:val="en-US" w:eastAsia="zh-CN"/>
              </w:rPr>
            </w:pPr>
            <w:r>
              <w:rPr>
                <w:rFonts w:ascii="宋体" w:hAnsi="宋体" w:eastAsia="宋体" w:cs="宋体"/>
                <w:sz w:val="24"/>
                <w:szCs w:val="24"/>
                <w:highlight w:val="none"/>
              </w:rPr>
              <w:t>培训计划</w:t>
            </w:r>
          </w:p>
        </w:tc>
        <w:tc>
          <w:tcPr>
            <w:tcW w:w="841" w:type="dxa"/>
            <w:noWrap w:val="0"/>
            <w:vAlign w:val="center"/>
          </w:tcPr>
          <w:p>
            <w:pPr>
              <w:snapToGrid w:val="0"/>
              <w:spacing w:line="288"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6</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由评委会成员</w:t>
            </w:r>
            <w:r>
              <w:rPr>
                <w:rFonts w:ascii="宋体" w:hAnsi="宋体" w:eastAsia="宋体" w:cs="宋体"/>
                <w:sz w:val="24"/>
                <w:szCs w:val="24"/>
                <w:highlight w:val="none"/>
              </w:rPr>
              <w:t>根据投标人的投标文件中对采购人的管理人员、操作人 员及维护人员进行培训等情况</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投标单位提出的培训方案情况符合项目实际情况，培训内容贴进项目特点，时间安排科学、合理，保证培训计划顺利进行的得6分。</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投标单位提出的培训方案情况比较符合项目实际情况，培训内容比较贴进项目特点，时间安排较为科学、合理，能够保证培训计划顺利进行的得4分。</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投标单位提出的培训方案情况不符合项目实际情况，培训内容不能贴进项目特点，时间安排不科学、合理，不能保证培训计划顺利进行的得2分。</w:t>
            </w:r>
          </w:p>
          <w:p>
            <w:pPr>
              <w:snapToGrid w:val="0"/>
              <w:spacing w:line="288"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41"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合计</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100</w:t>
            </w:r>
          </w:p>
        </w:tc>
        <w:tc>
          <w:tcPr>
            <w:tcW w:w="6559"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注：以上各评分项缺项者，该项得0分。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200DE"/>
    <w:multiLevelType w:val="singleLevel"/>
    <w:tmpl w:val="E80200DE"/>
    <w:lvl w:ilvl="0" w:tentative="0">
      <w:start w:val="1"/>
      <w:numFmt w:val="decimal"/>
      <w:suff w:val="nothing"/>
      <w:lvlText w:val="%1、"/>
      <w:lvlJc w:val="left"/>
    </w:lvl>
  </w:abstractNum>
  <w:abstractNum w:abstractNumId="1">
    <w:nsid w:val="15D71135"/>
    <w:multiLevelType w:val="multilevel"/>
    <w:tmpl w:val="15D71135"/>
    <w:lvl w:ilvl="0" w:tentative="0">
      <w:start w:val="1"/>
      <w:numFmt w:val="chineseCountingThousand"/>
      <w:pStyle w:val="2"/>
      <w:suff w:val="space"/>
      <w:lvlText w:val="第%1章"/>
      <w:lvlJc w:val="left"/>
      <w:pPr>
        <w:ind w:left="0" w:firstLine="0"/>
      </w:pPr>
      <w:rPr>
        <w:rFonts w:hint="eastAsia" w:eastAsia="宋体"/>
      </w:rPr>
    </w:lvl>
    <w:lvl w:ilvl="1" w:tentative="0">
      <w:start w:val="1"/>
      <w:numFmt w:val="chineseCountingThousand"/>
      <w:suff w:val="space"/>
      <w:lvlText w:val="%2、"/>
      <w:lvlJc w:val="left"/>
      <w:pPr>
        <w:ind w:left="0" w:firstLine="0"/>
      </w:pPr>
      <w:rPr>
        <w:rFonts w:hint="eastAsia" w:eastAsia="宋体"/>
      </w:rPr>
    </w:lvl>
    <w:lvl w:ilvl="2" w:tentative="0">
      <w:start w:val="1"/>
      <w:numFmt w:val="decimal"/>
      <w:suff w:val="space"/>
      <w:lvlText w:val="%3."/>
      <w:lvlJc w:val="left"/>
      <w:pPr>
        <w:ind w:left="0" w:firstLine="0"/>
      </w:pPr>
      <w:rPr>
        <w:rFonts w:hint="eastAsia" w:eastAsia="宋体"/>
      </w:rPr>
    </w:lvl>
    <w:lvl w:ilvl="3" w:tentative="0">
      <w:start w:val="1"/>
      <w:numFmt w:val="decimal"/>
      <w:isLgl/>
      <w:suff w:val="space"/>
      <w:lvlText w:val="%1.%2.%3.%4"/>
      <w:lvlJc w:val="left"/>
      <w:pPr>
        <w:ind w:left="0" w:firstLine="0"/>
      </w:pPr>
      <w:rPr>
        <w:rFonts w:hint="eastAsia" w:eastAsia="宋体"/>
      </w:rPr>
    </w:lvl>
    <w:lvl w:ilvl="4" w:tentative="0">
      <w:start w:val="1"/>
      <w:numFmt w:val="decimal"/>
      <w:isLgl/>
      <w:suff w:val="space"/>
      <w:lvlText w:val="%1.%2.%3.%4.%5"/>
      <w:lvlJc w:val="left"/>
      <w:pPr>
        <w:ind w:left="0" w:firstLine="0"/>
      </w:pPr>
      <w:rPr>
        <w:rFonts w:hint="eastAsia" w:eastAsia="宋体"/>
      </w:rPr>
    </w:lvl>
    <w:lvl w:ilvl="5" w:tentative="0">
      <w:start w:val="1"/>
      <w:numFmt w:val="decimal"/>
      <w:isLgl/>
      <w:suff w:val="space"/>
      <w:lvlText w:val="%1.%2.%3.%4.%5.%6"/>
      <w:lvlJc w:val="left"/>
      <w:pPr>
        <w:ind w:left="0" w:firstLine="0"/>
      </w:pPr>
      <w:rPr>
        <w:rFonts w:hint="eastAsia" w:eastAsia="宋体"/>
      </w:rPr>
    </w:lvl>
    <w:lvl w:ilvl="6" w:tentative="0">
      <w:start w:val="1"/>
      <w:numFmt w:val="decimal"/>
      <w:isLgl/>
      <w:suff w:val="space"/>
      <w:lvlText w:val="%1.%2.%3.%4.%5.%6.%7"/>
      <w:lvlJc w:val="left"/>
      <w:pPr>
        <w:ind w:left="0" w:firstLine="0"/>
      </w:pPr>
      <w:rPr>
        <w:rFonts w:hint="eastAsia" w:eastAsia="宋体"/>
      </w:rPr>
    </w:lvl>
    <w:lvl w:ilvl="7" w:tentative="0">
      <w:start w:val="1"/>
      <w:numFmt w:val="decimal"/>
      <w:isLgl/>
      <w:suff w:val="space"/>
      <w:lvlText w:val="%1.%2.%3.%4.%5.%6.%7.%8"/>
      <w:lvlJc w:val="left"/>
      <w:pPr>
        <w:ind w:left="0" w:firstLine="0"/>
      </w:pPr>
      <w:rPr>
        <w:rFonts w:hint="eastAsia" w:eastAsia="宋体"/>
      </w:rPr>
    </w:lvl>
    <w:lvl w:ilvl="8" w:tentative="0">
      <w:start w:val="1"/>
      <w:numFmt w:val="decimal"/>
      <w:isLgl/>
      <w:suff w:val="space"/>
      <w:lvlText w:val="%1.%2.%3.%4.%5.%6.%7.%8.%9"/>
      <w:lvlJc w:val="left"/>
      <w:pPr>
        <w:ind w:left="0" w:firstLine="0"/>
      </w:pPr>
      <w:rPr>
        <w:rFonts w:hint="eastAsia" w:eastAsia="宋体"/>
      </w:rPr>
    </w:lvl>
  </w:abstractNum>
  <w:abstractNum w:abstractNumId="2">
    <w:nsid w:val="5DC234BF"/>
    <w:multiLevelType w:val="multilevel"/>
    <w:tmpl w:val="5DC234B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wOGJjNTYxNjUyMTcxNDJiZDhhNDhiODU1ZGIxY2IifQ=="/>
  </w:docVars>
  <w:rsids>
    <w:rsidRoot w:val="00053395"/>
    <w:rsid w:val="00053395"/>
    <w:rsid w:val="002D3AAA"/>
    <w:rsid w:val="0074027D"/>
    <w:rsid w:val="007E733A"/>
    <w:rsid w:val="007F66E6"/>
    <w:rsid w:val="00803417"/>
    <w:rsid w:val="0096638C"/>
    <w:rsid w:val="00AC3558"/>
    <w:rsid w:val="00AE0576"/>
    <w:rsid w:val="00BE36DC"/>
    <w:rsid w:val="0209482D"/>
    <w:rsid w:val="06E24875"/>
    <w:rsid w:val="09637CD2"/>
    <w:rsid w:val="0F754B3D"/>
    <w:rsid w:val="192E299C"/>
    <w:rsid w:val="1ABD1EE4"/>
    <w:rsid w:val="1F245708"/>
    <w:rsid w:val="23374AEE"/>
    <w:rsid w:val="24D401B2"/>
    <w:rsid w:val="2D282C3A"/>
    <w:rsid w:val="3FB823B4"/>
    <w:rsid w:val="48645406"/>
    <w:rsid w:val="4A0B51BF"/>
    <w:rsid w:val="4C542DA8"/>
    <w:rsid w:val="5167114E"/>
    <w:rsid w:val="580C6CA6"/>
    <w:rsid w:val="5B55626F"/>
    <w:rsid w:val="5C3C70D8"/>
    <w:rsid w:val="670F6200"/>
    <w:rsid w:val="68FF2C52"/>
    <w:rsid w:val="6B586227"/>
    <w:rsid w:val="72D82EF8"/>
    <w:rsid w:val="74E4022B"/>
    <w:rsid w:val="77C81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pageBreakBefore/>
      <w:numPr>
        <w:ilvl w:val="0"/>
        <w:numId w:val="1"/>
      </w:numPr>
      <w:spacing w:after="150" w:afterLines="150"/>
      <w:jc w:val="center"/>
      <w:outlineLvl w:val="0"/>
    </w:pPr>
    <w:rPr>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afterLines="0"/>
    </w:pPr>
    <w:rPr>
      <w:kern w:val="2"/>
      <w:sz w:val="21"/>
      <w:szCs w:val="24"/>
    </w:rPr>
  </w:style>
  <w:style w:type="paragraph" w:styleId="5">
    <w:name w:val="Body Text Indent"/>
    <w:basedOn w:val="1"/>
    <w:autoRedefine/>
    <w:qFormat/>
    <w:uiPriority w:val="0"/>
    <w:pPr>
      <w:ind w:left="540"/>
    </w:p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4"/>
    <w:qFormat/>
    <w:uiPriority w:val="0"/>
    <w:rPr>
      <w:rFonts w:eastAsia="楷体_GB2312"/>
      <w:kern w:val="2"/>
      <w:sz w:val="32"/>
      <w:szCs w:val="24"/>
    </w:rPr>
  </w:style>
  <w:style w:type="table" w:styleId="10">
    <w:name w:val="Table Grid"/>
    <w:basedOn w:val="9"/>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paragraph" w:customStyle="1" w:styleId="15">
    <w:name w:val="正文_0_0"/>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6">
    <w:name w:val="正文-段落"/>
    <w:autoRedefine/>
    <w:qFormat/>
    <w:uiPriority w:val="0"/>
    <w:pPr>
      <w:snapToGrid w:val="0"/>
      <w:spacing w:before="156" w:beforeLines="50" w:after="156" w:afterLines="50" w:line="360" w:lineRule="auto"/>
      <w:ind w:left="360"/>
    </w:pPr>
    <w:rPr>
      <w:rFonts w:ascii="Times New Roman" w:hAnsi="Times New Roman" w:eastAsia="宋体" w:cs="宋体"/>
      <w:kern w:val="0"/>
      <w:sz w:val="24"/>
      <w:szCs w:val="24"/>
      <w:lang w:val="en-GB" w:eastAsia="zh-CN" w:bidi="ar-SA"/>
    </w:rPr>
  </w:style>
  <w:style w:type="paragraph" w:customStyle="1" w:styleId="17">
    <w:name w:val="样式1"/>
    <w:basedOn w:val="5"/>
    <w:autoRedefine/>
    <w:qFormat/>
    <w:uiPriority w:val="0"/>
    <w:pPr>
      <w:spacing w:after="120" w:line="360" w:lineRule="auto"/>
      <w:ind w:left="420" w:firstLine="630"/>
    </w:pPr>
    <w:rPr>
      <w:sz w:val="28"/>
    </w:rPr>
  </w:style>
  <w:style w:type="paragraph" w:styleId="18">
    <w:name w:val="List Paragraph"/>
    <w:basedOn w:val="1"/>
    <w:autoRedefine/>
    <w:qFormat/>
    <w:uiPriority w:val="99"/>
    <w:pPr>
      <w:ind w:firstLine="420" w:firstLineChars="200"/>
    </w:pPr>
    <w:rPr>
      <w:rFonts w:ascii="Calibri" w:hAnsi="Calibri"/>
      <w:szCs w:val="22"/>
    </w:rPr>
  </w:style>
  <w:style w:type="paragraph" w:customStyle="1" w:styleId="19">
    <w:name w:val="正文缩进2格"/>
    <w:basedOn w:val="1"/>
    <w:autoRedefine/>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3220</Words>
  <Characters>3334</Characters>
  <Lines>2</Lines>
  <Paragraphs>1</Paragraphs>
  <TotalTime>11</TotalTime>
  <ScaleCrop>false</ScaleCrop>
  <LinksUpToDate>false</LinksUpToDate>
  <CharactersWithSpaces>3350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2024-03-25T09:32:00Z</dcterms:created>
  <dc:creator>HP</dc:creator>
  <cp:lastModifiedBy>弥月</cp:lastModifiedBy>
  <dcterms:modified xsi:type="dcterms:W3CDTF">2025-04-10T03:14:43Z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24810A3F3FA948C28526B2113CBF6BBB_13</vt:lpwstr>
  </property>
  <property fmtid="{D5CDD505-2E9C-101B-9397-08002B2CF9AE}" pid="4" name="KSOTemplateDocerSaveRecord">
    <vt:lpwstr>eyJoZGlkIjoiODUwYzA0ZTNlMTlhNzYxZjQ1OTAyMTZkYzVmYmZkMGYiLCJ1c2VySWQiOiIxOTMyNzIwODkifQ==</vt:lpwstr>
  </property>
</Properties>
</file>