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sz w:val="28"/>
          <w:szCs w:val="28"/>
          <w:lang w:val="en-US" w:eastAsia="zh-CN"/>
        </w:rPr>
      </w:pPr>
      <w:bookmarkStart w:id="0" w:name="_GoBack"/>
      <w:r>
        <w:rPr>
          <w:rFonts w:hint="eastAsia" w:ascii="仿宋" w:hAnsi="仿宋" w:eastAsia="仿宋" w:cs="仿宋"/>
          <w:sz w:val="28"/>
          <w:szCs w:val="28"/>
          <w:lang w:val="en-US" w:eastAsia="zh-CN"/>
        </w:rPr>
        <w:t>附件二：采购参数</w:t>
      </w:r>
    </w:p>
    <w:bookmarkEnd w:id="0"/>
    <w:tbl>
      <w:tblPr>
        <w:tblStyle w:val="5"/>
        <w:tblpPr w:leftFromText="180" w:rightFromText="180" w:vertAnchor="page" w:horzAnchor="page" w:tblpX="1806" w:tblpY="2298"/>
        <w:tblOverlap w:val="never"/>
        <w:tblW w:w="867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976"/>
        <w:gridCol w:w="2147"/>
        <w:gridCol w:w="3084"/>
        <w:gridCol w:w="847"/>
        <w:gridCol w:w="16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90" w:hRule="atLeast"/>
        </w:trPr>
        <w:tc>
          <w:tcPr>
            <w:tcW w:w="976" w:type="dxa"/>
            <w:tcBorders>
              <w:bottom w:val="outset" w:color="auto" w:sz="6" w:space="0"/>
              <w:right w:val="outset" w:color="auto" w:sz="6" w:space="0"/>
            </w:tcBorders>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序号</w:t>
            </w:r>
          </w:p>
        </w:tc>
        <w:tc>
          <w:tcPr>
            <w:tcW w:w="2147" w:type="dxa"/>
            <w:tcBorders>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名称</w:t>
            </w:r>
          </w:p>
        </w:tc>
        <w:tc>
          <w:tcPr>
            <w:tcW w:w="3084" w:type="dxa"/>
            <w:tcBorders>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技术参数和规格型号</w:t>
            </w:r>
          </w:p>
        </w:tc>
        <w:tc>
          <w:tcPr>
            <w:tcW w:w="847" w:type="dxa"/>
            <w:tcBorders>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单位</w:t>
            </w:r>
          </w:p>
        </w:tc>
        <w:tc>
          <w:tcPr>
            <w:tcW w:w="1623" w:type="dxa"/>
            <w:tcBorders>
              <w:left w:val="outset" w:color="auto" w:sz="6" w:space="0"/>
              <w:bottom w:val="outset" w:color="auto" w:sz="6" w:space="0"/>
            </w:tcBorders>
            <w:noWrap w:val="0"/>
            <w:vAlign w:val="center"/>
          </w:tcPr>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66" w:hRule="atLeast"/>
        </w:trPr>
        <w:tc>
          <w:tcPr>
            <w:tcW w:w="976" w:type="dxa"/>
            <w:tcBorders>
              <w:top w:val="outset" w:color="auto" w:sz="6" w:space="0"/>
              <w:bottom w:val="outset" w:color="auto" w:sz="6" w:space="0"/>
              <w:right w:val="outset" w:color="auto" w:sz="6" w:space="0"/>
            </w:tcBorders>
            <w:noWrap w:val="0"/>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2147"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一次性使用导电粘胶电极板(电刀负极板)</w:t>
            </w:r>
          </w:p>
        </w:tc>
        <w:tc>
          <w:tcPr>
            <w:tcW w:w="3084" w:type="dxa"/>
            <w:tcBorders>
              <w:top w:val="outset" w:color="auto" w:sz="6" w:space="0"/>
              <w:left w:val="outset" w:color="auto" w:sz="6" w:space="0"/>
              <w:bottom w:val="outset" w:color="auto" w:sz="6" w:space="0"/>
              <w:right w:val="outset"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rPr>
            </w:pPr>
            <w:r>
              <w:rPr>
                <w:rFonts w:hint="eastAsia" w:ascii="仿宋" w:hAnsi="仿宋" w:eastAsia="仿宋" w:cs="仿宋"/>
                <w:sz w:val="28"/>
                <w:szCs w:val="28"/>
              </w:rPr>
              <w:t>1、适用范围:与高频手术器械配套作中性</w:t>
            </w:r>
            <w:r>
              <w:rPr>
                <w:rFonts w:hint="eastAsia" w:ascii="仿宋" w:hAnsi="仿宋" w:eastAsia="仿宋" w:cs="仿宋"/>
                <w:sz w:val="28"/>
                <w:szCs w:val="28"/>
                <w:lang w:eastAsia="zh-CN"/>
              </w:rPr>
              <w:t>电极</w:t>
            </w:r>
            <w:r>
              <w:rPr>
                <w:rFonts w:hint="eastAsia" w:ascii="仿宋" w:hAnsi="仿宋" w:eastAsia="仿宋" w:cs="仿宋"/>
                <w:sz w:val="28"/>
                <w:szCs w:val="28"/>
              </w:rPr>
              <w:t>使用。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rPr>
            </w:pPr>
            <w:r>
              <w:rPr>
                <w:rFonts w:hint="eastAsia" w:ascii="仿宋" w:hAnsi="仿宋" w:eastAsia="仿宋" w:cs="仿宋"/>
                <w:sz w:val="28"/>
                <w:szCs w:val="28"/>
              </w:rPr>
              <w:t>2、组成:舌片、铝箔、泡棉/无纺布、隔离纸、导电水凝胶等部件组成，配套连接线。</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rPr>
            </w:pPr>
            <w:r>
              <w:rPr>
                <w:rFonts w:hint="eastAsia" w:ascii="仿宋" w:hAnsi="仿宋" w:eastAsia="仿宋" w:cs="仿宋"/>
                <w:sz w:val="28"/>
                <w:szCs w:val="28"/>
              </w:rPr>
              <w:t>3、产品应清洁、无褶皱，正常使用状态下不因产品升温使患者接触部位受到损伤。</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rPr>
            </w:pPr>
            <w:r>
              <w:rPr>
                <w:rFonts w:hint="eastAsia" w:ascii="仿宋" w:hAnsi="仿宋" w:eastAsia="仿宋" w:cs="仿宋"/>
                <w:sz w:val="28"/>
                <w:szCs w:val="28"/>
              </w:rPr>
              <w:t>4、型号:成人型单极板HW-SF225X115。</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rPr>
            </w:pPr>
            <w:r>
              <w:rPr>
                <w:rFonts w:hint="eastAsia" w:ascii="仿宋" w:hAnsi="仿宋" w:eastAsia="仿宋" w:cs="仿宋"/>
                <w:sz w:val="28"/>
                <w:szCs w:val="28"/>
              </w:rPr>
              <w:t>5、规格:1片/袋，独立包装，50片/盒。</w:t>
            </w:r>
          </w:p>
        </w:tc>
        <w:tc>
          <w:tcPr>
            <w:tcW w:w="847"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支</w:t>
            </w:r>
          </w:p>
        </w:tc>
        <w:tc>
          <w:tcPr>
            <w:tcW w:w="1623" w:type="dxa"/>
            <w:tcBorders>
              <w:top w:val="outset" w:color="auto" w:sz="6" w:space="0"/>
              <w:left w:val="outset" w:color="auto" w:sz="6" w:space="0"/>
              <w:bottom w:val="outset" w:color="auto" w:sz="6" w:space="0"/>
            </w:tcBorders>
            <w:noWrap w:val="0"/>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4600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45" w:hRule="atLeast"/>
        </w:trPr>
        <w:tc>
          <w:tcPr>
            <w:tcW w:w="976" w:type="dxa"/>
            <w:tcBorders>
              <w:top w:val="outset" w:color="auto" w:sz="6" w:space="0"/>
              <w:right w:val="outset" w:color="auto" w:sz="6" w:space="0"/>
            </w:tcBorders>
            <w:noWrap w:val="0"/>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2147" w:type="dxa"/>
            <w:tcBorders>
              <w:top w:val="outset" w:color="auto" w:sz="6" w:space="0"/>
              <w:left w:val="outset" w:color="auto" w:sz="6" w:space="0"/>
              <w:right w:val="outset" w:color="auto" w:sz="6" w:space="0"/>
            </w:tcBorders>
            <w:noWrap w:val="0"/>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一次性使用高频手术电极(电刀笔)</w:t>
            </w:r>
          </w:p>
        </w:tc>
        <w:tc>
          <w:tcPr>
            <w:tcW w:w="3084" w:type="dxa"/>
            <w:tcBorders>
              <w:top w:val="outset" w:color="auto" w:sz="6" w:space="0"/>
              <w:left w:val="outset" w:color="auto" w:sz="6" w:space="0"/>
              <w:right w:val="outset"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rPr>
            </w:pPr>
            <w:r>
              <w:rPr>
                <w:rFonts w:hint="eastAsia" w:ascii="仿宋" w:hAnsi="仿宋" w:eastAsia="仿宋" w:cs="仿宋"/>
                <w:sz w:val="28"/>
                <w:szCs w:val="28"/>
              </w:rPr>
              <w:t>1、封闭式笔身技术和防止刀头旋转移位的内六角固定设计，既可防止液体的渗入而导致的电刀笔的自动输出，又可防止刀头旋转脱落，确保医生和病人的安全。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rPr>
            </w:pPr>
            <w:r>
              <w:rPr>
                <w:rFonts w:hint="eastAsia" w:ascii="仿宋" w:hAnsi="仿宋" w:eastAsia="仿宋" w:cs="仿宋"/>
                <w:sz w:val="28"/>
                <w:szCs w:val="28"/>
              </w:rPr>
              <w:t>2、手柄符合人体工程学设计，流线形的外形配合手柄握部位防滑设计，给医生带来舒适的手感，减少医生长时间手术而引起的肌肉紧张和疲劳。</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rPr>
            </w:pPr>
            <w:r>
              <w:rPr>
                <w:rFonts w:hint="eastAsia" w:ascii="仿宋" w:hAnsi="仿宋" w:eastAsia="仿宋" w:cs="仿宋"/>
                <w:sz w:val="28"/>
                <w:szCs w:val="28"/>
              </w:rPr>
              <w:t>3、适用范围:与高频手术器械(高频电刀)配套，分别供临床进行切割、凝血或两者兼用的手术用。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rPr>
            </w:pPr>
            <w:r>
              <w:rPr>
                <w:rFonts w:hint="eastAsia" w:ascii="仿宋" w:hAnsi="仿宋" w:eastAsia="仿宋" w:cs="仿宋"/>
                <w:sz w:val="28"/>
                <w:szCs w:val="28"/>
              </w:rPr>
              <w:t>4、组成:刀头、电切电凝手柄、电缆线、插头、手动按钮。</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FF0000"/>
                <w:sz w:val="28"/>
                <w:szCs w:val="28"/>
                <w:lang w:eastAsia="zh-CN"/>
              </w:rPr>
            </w:pPr>
            <w:r>
              <w:rPr>
                <w:rFonts w:hint="eastAsia" w:ascii="仿宋" w:hAnsi="仿宋" w:eastAsia="仿宋" w:cs="仿宋"/>
                <w:b/>
                <w:bCs/>
                <w:color w:val="FF0000"/>
                <w:sz w:val="28"/>
                <w:szCs w:val="28"/>
              </w:rPr>
              <w:t>*5、材质:电极的柄部及手动按钮采用ABS制成，刀头采用不锈钢材料制成且表面经过特殊处理(无涂层)起到良好的不粘效果，电缆线采用柔软性好的高频电缆线制成，刀头部分:表面粗糙度≤3.2um，电极与高频连接线应导通良好，阻抗值≤5Ω</w:t>
            </w:r>
            <w:r>
              <w:rPr>
                <w:rFonts w:hint="eastAsia" w:ascii="仿宋" w:hAnsi="仿宋" w:eastAsia="仿宋" w:cs="仿宋"/>
                <w:b/>
                <w:bCs/>
                <w:color w:val="FF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eastAsia="zh-CN"/>
              </w:rPr>
              <w:t>、刀</w:t>
            </w:r>
            <w:r>
              <w:rPr>
                <w:rFonts w:hint="eastAsia" w:ascii="仿宋" w:hAnsi="仿宋" w:eastAsia="仿宋" w:cs="仿宋"/>
                <w:sz w:val="28"/>
                <w:szCs w:val="28"/>
              </w:rPr>
              <w:t>头长度有:65mm、100mm、150mm</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rPr>
            </w:pPr>
            <w:r>
              <w:rPr>
                <w:rFonts w:hint="eastAsia" w:ascii="仿宋" w:hAnsi="仿宋" w:eastAsia="仿宋" w:cs="仿宋"/>
                <w:sz w:val="28"/>
                <w:szCs w:val="28"/>
              </w:rPr>
              <w:t>7、一次性使用，经环氧乙烷灭菌包装。</w:t>
            </w:r>
          </w:p>
        </w:tc>
        <w:tc>
          <w:tcPr>
            <w:tcW w:w="847" w:type="dxa"/>
            <w:tcBorders>
              <w:top w:val="outset" w:color="auto" w:sz="6" w:space="0"/>
              <w:left w:val="outset" w:color="auto" w:sz="6" w:space="0"/>
              <w:right w:val="outset" w:color="auto" w:sz="6" w:space="0"/>
            </w:tcBorders>
            <w:noWrap w:val="0"/>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支</w:t>
            </w:r>
          </w:p>
        </w:tc>
        <w:tc>
          <w:tcPr>
            <w:tcW w:w="1623" w:type="dxa"/>
            <w:tcBorders>
              <w:top w:val="outset" w:color="auto" w:sz="6" w:space="0"/>
              <w:left w:val="outset" w:color="auto" w:sz="6" w:space="0"/>
            </w:tcBorders>
            <w:noWrap w:val="0"/>
            <w:vAlign w:val="center"/>
          </w:tcPr>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4000</w:t>
            </w:r>
          </w:p>
        </w:tc>
      </w:tr>
    </w:tbl>
    <w:p>
      <w:pPr>
        <w:pStyle w:val="8"/>
        <w:jc w:val="center"/>
        <w:rPr>
          <w:rFonts w:hint="eastAsia" w:ascii="宋体" w:hAnsi="宋体" w:eastAsia="宋体"/>
          <w:color w:val="auto"/>
          <w:sz w:val="32"/>
          <w:szCs w:val="32"/>
          <w:lang w:val="en-US" w:eastAsia="zh-CN"/>
        </w:rPr>
      </w:pPr>
      <w:r>
        <w:rPr>
          <w:rFonts w:hint="eastAsia" w:ascii="宋体" w:hAnsi="宋体"/>
          <w:color w:val="auto"/>
          <w:sz w:val="32"/>
          <w:szCs w:val="32"/>
          <w:lang w:val="en-US" w:eastAsia="zh-CN"/>
        </w:rPr>
        <w:t>耗材</w:t>
      </w:r>
      <w:r>
        <w:rPr>
          <w:rFonts w:hint="eastAsia" w:ascii="宋体" w:hAnsi="宋体"/>
          <w:color w:val="auto"/>
          <w:sz w:val="32"/>
          <w:szCs w:val="32"/>
        </w:rPr>
        <w:t>采购</w:t>
      </w:r>
      <w:r>
        <w:rPr>
          <w:rFonts w:hint="eastAsia" w:ascii="宋体" w:hAnsi="宋体"/>
          <w:color w:val="auto"/>
          <w:sz w:val="32"/>
          <w:szCs w:val="32"/>
          <w:lang w:val="en-US" w:eastAsia="zh-CN"/>
        </w:rPr>
        <w:t>需求</w:t>
      </w:r>
    </w:p>
    <w:p>
      <w:pPr>
        <w:rPr>
          <w:rFonts w:hint="eastAsia" w:ascii="宋体" w:hAnsi="宋体"/>
          <w:color w:val="auto"/>
          <w:sz w:val="24"/>
          <w:szCs w:val="24"/>
        </w:rPr>
      </w:pPr>
      <w:r>
        <w:rPr>
          <w:rFonts w:hint="eastAsia" w:ascii="宋体" w:hAnsi="宋体"/>
          <w:color w:val="auto"/>
          <w:sz w:val="24"/>
          <w:szCs w:val="24"/>
        </w:rPr>
        <w:t>1、按需分批采购；供货期≤5个</w:t>
      </w:r>
      <w:r>
        <w:rPr>
          <w:rFonts w:hint="eastAsia" w:ascii="宋体" w:hAnsi="宋体"/>
          <w:color w:val="auto"/>
          <w:sz w:val="24"/>
          <w:szCs w:val="24"/>
          <w:lang w:val="en-US" w:eastAsia="zh-CN"/>
        </w:rPr>
        <w:t>日历</w:t>
      </w:r>
      <w:r>
        <w:rPr>
          <w:rFonts w:hint="eastAsia" w:ascii="宋体" w:hAnsi="宋体"/>
          <w:color w:val="auto"/>
          <w:sz w:val="24"/>
          <w:szCs w:val="24"/>
        </w:rPr>
        <w:t>日；具有24小时应急服务，特殊情况下需2小时送达。供货时，每批次货物必须有质检报告附后（国产产品），如不能提供，业主有权随时终止合同。</w:t>
      </w:r>
    </w:p>
    <w:p>
      <w:pPr>
        <w:rPr>
          <w:rFonts w:hint="eastAsia" w:ascii="宋体" w:hAnsi="宋体"/>
          <w:color w:val="auto"/>
          <w:sz w:val="24"/>
          <w:szCs w:val="24"/>
        </w:rPr>
      </w:pPr>
      <w:r>
        <w:rPr>
          <w:rFonts w:hint="eastAsia" w:ascii="宋体" w:hAnsi="宋体"/>
          <w:color w:val="auto"/>
          <w:sz w:val="24"/>
          <w:szCs w:val="24"/>
        </w:rPr>
        <w:t>2、本次采购数量为暂估量，具体采购数量由采购人按计划分批次进行采购，但原则上采购数量不超过本次采购数量。</w:t>
      </w:r>
    </w:p>
    <w:p>
      <w:pPr>
        <w:rPr>
          <w:rFonts w:hint="eastAsia" w:ascii="宋体" w:hAnsi="宋体"/>
          <w:color w:val="auto"/>
          <w:sz w:val="24"/>
          <w:szCs w:val="24"/>
        </w:rPr>
      </w:pPr>
      <w:r>
        <w:rPr>
          <w:rFonts w:hint="eastAsia" w:ascii="宋体" w:hAnsi="宋体"/>
          <w:color w:val="auto"/>
          <w:sz w:val="24"/>
          <w:szCs w:val="24"/>
        </w:rPr>
        <w:t>3、投标单位须具有医疗器械经营许可证或医疗器械生产许可证或医疗器械经营备案凭证</w:t>
      </w:r>
    </w:p>
    <w:p>
      <w:pPr>
        <w:rPr>
          <w:rFonts w:hint="eastAsia" w:ascii="宋体" w:hAnsi="宋体"/>
          <w:color w:val="auto"/>
          <w:sz w:val="24"/>
          <w:szCs w:val="24"/>
        </w:rPr>
      </w:pPr>
      <w:r>
        <w:rPr>
          <w:rFonts w:hint="eastAsia" w:ascii="宋体" w:hAnsi="宋体"/>
          <w:color w:val="auto"/>
          <w:sz w:val="24"/>
          <w:szCs w:val="24"/>
        </w:rPr>
        <w:t>4、如发现未实质性响应招标文件供货，则扣除3个月货款做为违约金，并终止合约；如在供货期内出现质量问题则立即终止合约，</w:t>
      </w:r>
      <w:r>
        <w:rPr>
          <w:rFonts w:hint="eastAsia" w:ascii="宋体" w:hAnsi="宋体"/>
          <w:color w:val="auto"/>
          <w:sz w:val="24"/>
          <w:szCs w:val="24"/>
          <w:lang w:val="en-US" w:eastAsia="zh-CN"/>
        </w:rPr>
        <w:t>中标人</w:t>
      </w:r>
      <w:r>
        <w:rPr>
          <w:rFonts w:hint="eastAsia" w:ascii="宋体" w:hAnsi="宋体"/>
          <w:color w:val="auto"/>
          <w:sz w:val="24"/>
          <w:szCs w:val="24"/>
        </w:rPr>
        <w:t>承担相应的赔偿责任(具体在合同中约定）。</w:t>
      </w:r>
    </w:p>
    <w:p>
      <w:pPr>
        <w:rPr>
          <w:rFonts w:hint="eastAsia" w:ascii="宋体" w:hAnsi="宋体"/>
          <w:color w:val="auto"/>
          <w:sz w:val="24"/>
          <w:szCs w:val="24"/>
        </w:rPr>
      </w:pPr>
      <w:r>
        <w:rPr>
          <w:rFonts w:hint="eastAsia" w:ascii="宋体" w:hAnsi="宋体"/>
          <w:color w:val="auto"/>
          <w:sz w:val="24"/>
          <w:szCs w:val="24"/>
        </w:rPr>
        <w:t>5、产品有效期：不低于产品有效期的一半。（如产品有效期为1年，则到货产品剩余有效期不得低于半年）</w:t>
      </w:r>
    </w:p>
    <w:p>
      <w:pPr>
        <w:rPr>
          <w:rFonts w:hint="eastAsia" w:ascii="宋体" w:hAnsi="宋体"/>
          <w:color w:val="auto"/>
          <w:sz w:val="24"/>
          <w:szCs w:val="24"/>
        </w:rPr>
      </w:pPr>
      <w:r>
        <w:rPr>
          <w:rFonts w:hint="eastAsia" w:ascii="宋体" w:hAnsi="宋体"/>
          <w:color w:val="auto"/>
          <w:sz w:val="24"/>
          <w:szCs w:val="24"/>
        </w:rPr>
        <w:t>6、符合食药局检测相关要求，产品因产品本身质量问题或售后服务不当引起的医疗事故、医疗纠纷或其他原因造成</w:t>
      </w:r>
      <w:r>
        <w:rPr>
          <w:rFonts w:hint="eastAsia" w:ascii="宋体" w:hAnsi="宋体"/>
          <w:color w:val="auto"/>
          <w:sz w:val="24"/>
          <w:szCs w:val="24"/>
          <w:lang w:val="en-US" w:eastAsia="zh-CN"/>
        </w:rPr>
        <w:t>医</w:t>
      </w:r>
      <w:r>
        <w:rPr>
          <w:rFonts w:hint="eastAsia" w:ascii="宋体" w:hAnsi="宋体"/>
          <w:color w:val="auto"/>
          <w:sz w:val="24"/>
          <w:szCs w:val="24"/>
        </w:rPr>
        <w:t>院任何损失，中标单位</w:t>
      </w:r>
      <w:r>
        <w:rPr>
          <w:rFonts w:hint="eastAsia" w:ascii="宋体" w:hAnsi="宋体"/>
          <w:color w:val="auto"/>
          <w:sz w:val="24"/>
          <w:szCs w:val="24"/>
          <w:lang w:val="en-US" w:eastAsia="zh-CN"/>
        </w:rPr>
        <w:t>全部</w:t>
      </w:r>
      <w:r>
        <w:rPr>
          <w:rFonts w:hint="eastAsia" w:ascii="宋体" w:hAnsi="宋体"/>
          <w:color w:val="auto"/>
          <w:sz w:val="24"/>
          <w:szCs w:val="24"/>
        </w:rPr>
        <w:t>承担事故处理及责任赔偿等相应的责任。</w:t>
      </w:r>
    </w:p>
    <w:p>
      <w:pPr>
        <w:rPr>
          <w:rFonts w:hint="eastAsia" w:ascii="宋体" w:hAnsi="宋体" w:eastAsia="宋体"/>
          <w:color w:val="auto"/>
          <w:sz w:val="24"/>
          <w:szCs w:val="24"/>
          <w:lang w:val="en-US" w:eastAsia="zh-CN"/>
        </w:rPr>
      </w:pPr>
    </w:p>
    <w:p>
      <w:pPr>
        <w:rPr>
          <w:rFonts w:hint="default" w:eastAsia="宋体"/>
          <w:color w:val="auto"/>
          <w:lang w:val="en-US" w:eastAsia="zh-CN"/>
        </w:rPr>
      </w:pPr>
      <w:r>
        <w:rPr>
          <w:rFonts w:hint="eastAsia" w:ascii="宋体" w:hAnsi="宋体"/>
          <w:color w:val="auto"/>
          <w:sz w:val="24"/>
          <w:szCs w:val="24"/>
          <w:lang w:val="en-US" w:eastAsia="zh-CN"/>
        </w:rPr>
        <w:t>付款方式：验收合格，三个月后按月还款。</w:t>
      </w:r>
    </w:p>
    <w:p>
      <w:pPr>
        <w:ind w:firstLine="3600" w:firstLineChars="1500"/>
        <w:rPr>
          <w:rFonts w:hint="eastAsia"/>
          <w:sz w:val="24"/>
          <w:szCs w:val="28"/>
          <w:lang w:val="en-US" w:eastAsia="zh-CN"/>
        </w:rPr>
      </w:pPr>
    </w:p>
    <w:p/>
    <w:p>
      <w:pPr>
        <w:spacing w:line="292" w:lineRule="auto"/>
        <w:rPr>
          <w:rFonts w:hint="default" w:ascii="Arial" w:eastAsia="宋体"/>
          <w:sz w:val="21"/>
          <w:lang w:val="en-US" w:eastAsia="zh-CN"/>
        </w:rPr>
      </w:pPr>
    </w:p>
    <w:p>
      <w:pPr>
        <w:spacing w:line="146" w:lineRule="exact"/>
      </w:pPr>
    </w:p>
    <w:p>
      <w:pPr>
        <w:spacing w:line="91" w:lineRule="auto"/>
        <w:rPr>
          <w:rFonts w:ascii="Arial"/>
          <w:sz w:val="2"/>
        </w:rPr>
      </w:pPr>
    </w:p>
    <w:p>
      <w:pPr>
        <w:spacing w:line="320" w:lineRule="auto"/>
        <w:rPr>
          <w:rFonts w:ascii="Arial"/>
          <w:sz w:val="21"/>
        </w:rPr>
      </w:pPr>
    </w:p>
    <w:p>
      <w:pPr>
        <w:spacing w:before="75" w:line="309" w:lineRule="exact"/>
        <w:ind w:left="506"/>
        <w:rPr>
          <w:rFonts w:ascii="Times New Roman" w:hAnsi="Times New Roman" w:eastAsia="Times New Roman" w:cs="Times New Roman"/>
          <w:b/>
          <w:bCs/>
          <w:spacing w:val="-1"/>
          <w:position w:val="2"/>
          <w:sz w:val="23"/>
          <w:szCs w:val="23"/>
        </w:rPr>
      </w:pPr>
    </w:p>
    <w:p>
      <w:pPr>
        <w:spacing w:before="75" w:line="309" w:lineRule="exact"/>
        <w:ind w:left="506"/>
        <w:rPr>
          <w:rFonts w:ascii="Times New Roman" w:hAnsi="Times New Roman" w:eastAsia="Times New Roman" w:cs="Times New Roman"/>
          <w:b/>
          <w:bCs/>
          <w:spacing w:val="-1"/>
          <w:position w:val="2"/>
          <w:sz w:val="23"/>
          <w:szCs w:val="23"/>
        </w:rPr>
      </w:pPr>
    </w:p>
    <w:p>
      <w:pPr>
        <w:spacing w:before="181" w:line="378" w:lineRule="auto"/>
        <w:ind w:left="32" w:right="11" w:firstLine="506"/>
        <w:rPr>
          <w:rFonts w:ascii="仿宋" w:hAnsi="仿宋" w:eastAsia="仿宋" w:cs="仿宋"/>
          <w:sz w:val="23"/>
          <w:szCs w:val="23"/>
        </w:rPr>
      </w:pPr>
    </w:p>
    <w:p>
      <w:pPr>
        <w:rPr>
          <w:rFonts w:hint="default" w:ascii="仿宋" w:hAnsi="仿宋" w:eastAsia="仿宋" w:cs="仿宋"/>
          <w:sz w:val="28"/>
          <w:szCs w:val="28"/>
          <w:lang w:val="en-US" w:eastAsia="zh-CN"/>
        </w:rPr>
      </w:pPr>
    </w:p>
    <w:p>
      <w:pPr>
        <w:rPr>
          <w:rFonts w:hint="eastAsia" w:ascii="仿宋" w:hAnsi="仿宋" w:eastAsia="仿宋" w:cs="仿宋"/>
          <w:sz w:val="28"/>
          <w:szCs w:val="28"/>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wOGJjNTYxNjUyMTcxNDJiZDhhNDhiODU1ZGIxY2IifQ=="/>
  </w:docVars>
  <w:rsids>
    <w:rsidRoot w:val="00000000"/>
    <w:rsid w:val="356D2CCE"/>
    <w:rsid w:val="62C55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after="120"/>
      <w:ind w:left="420" w:leftChars="200" w:firstLine="420"/>
    </w:pPr>
    <w:rPr>
      <w:rFonts w:ascii="Times New Roman" w:hAnsi="Times New Roman"/>
      <w:bCs w:val="0"/>
      <w:sz w:val="21"/>
      <w:szCs w:val="24"/>
    </w:rPr>
  </w:style>
  <w:style w:type="paragraph" w:styleId="3">
    <w:name w:val="Body Text Indent"/>
    <w:basedOn w:val="1"/>
    <w:next w:val="4"/>
    <w:autoRedefine/>
    <w:qFormat/>
    <w:uiPriority w:val="0"/>
    <w:pPr>
      <w:ind w:firstLine="560" w:firstLineChars="200"/>
    </w:pPr>
    <w:rPr>
      <w:rFonts w:ascii="宋体" w:hAnsi="宋体"/>
      <w:bCs/>
      <w:sz w:val="28"/>
      <w:szCs w:val="32"/>
    </w:rPr>
  </w:style>
  <w:style w:type="paragraph" w:styleId="4">
    <w:name w:val="envelope return"/>
    <w:basedOn w:val="1"/>
    <w:qFormat/>
    <w:uiPriority w:val="0"/>
    <w:pPr>
      <w:snapToGrid w:val="0"/>
    </w:pPr>
    <w:rPr>
      <w:rFonts w:ascii="Arial" w:hAnsi="Arial"/>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正文_0_0"/>
    <w:autoRedefi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2025-05-07T07:03:00Z</dcterms:created>
  <dc:creator>Administrator</dc:creator>
  <cp:lastModifiedBy>弥月</cp:lastModifiedBy>
  <dcterms:modified xsi:type="dcterms:W3CDTF">2025-05-12T02:56:16Z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KSOTemplateDocerSaveRecord">
    <vt:lpwstr>eyJoZGlkIjoiOWY2OTUwOWNkMzAwMTcyMmRiNThiNjVmNmQ2NTg1NDciLCJ1c2VySWQiOiIxMTc5MTMxOTYzIn0=</vt:lpwstr>
  </property>
  <property fmtid="{D5CDD505-2E9C-101B-9397-08002B2CF9AE}" pid="4" name="ICV">
    <vt:lpwstr>3ED255F3CD714C2A9220F576CDD96816_13</vt:lpwstr>
  </property>
</Properties>
</file>