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sz w:val="24"/>
          <w:szCs w:val="32"/>
          <w:lang w:val="en-US" w:eastAsia="zh-CN"/>
        </w:rPr>
      </w:pPr>
      <w:bookmarkStart w:id="0" w:name="_GoBack"/>
      <w:r>
        <w:rPr>
          <w:rFonts w:hint="eastAsia"/>
          <w:b/>
          <w:bCs/>
          <w:sz w:val="24"/>
          <w:szCs w:val="32"/>
          <w:lang w:val="en-US" w:eastAsia="zh-CN"/>
        </w:rPr>
        <w:t xml:space="preserve"> 附件二：采购参数</w:t>
      </w:r>
    </w:p>
    <w:bookmarkEnd w:id="0"/>
    <w:tbl>
      <w:tblPr>
        <w:tblStyle w:val="5"/>
        <w:tblW w:w="8365" w:type="dxa"/>
        <w:tblInd w:w="-246"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53"/>
        <w:gridCol w:w="1332"/>
        <w:gridCol w:w="4356"/>
        <w:gridCol w:w="1104"/>
        <w:gridCol w:w="102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81" w:hRule="atLeast"/>
        </w:trPr>
        <w:tc>
          <w:tcPr>
            <w:tcW w:w="55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rPr>
              <w:t>序号</w:t>
            </w:r>
          </w:p>
        </w:tc>
        <w:tc>
          <w:tcPr>
            <w:tcW w:w="133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rPr>
              <w:t>名称</w:t>
            </w:r>
          </w:p>
        </w:tc>
        <w:tc>
          <w:tcPr>
            <w:tcW w:w="435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rPr>
              <w:t>技术参数和规格型号</w:t>
            </w:r>
          </w:p>
        </w:tc>
        <w:tc>
          <w:tcPr>
            <w:tcW w:w="1104"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单位</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数量</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551" w:hRule="atLeast"/>
        </w:trPr>
        <w:tc>
          <w:tcPr>
            <w:tcW w:w="55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w:t>
            </w:r>
          </w:p>
        </w:tc>
        <w:tc>
          <w:tcPr>
            <w:tcW w:w="133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lang w:val="en-US" w:eastAsia="zh-CN"/>
              </w:rPr>
              <w:t>一次性使用核酸检测专用真空采血管</w:t>
            </w:r>
          </w:p>
        </w:tc>
        <w:tc>
          <w:tcPr>
            <w:tcW w:w="435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231F20"/>
                <w:kern w:val="0"/>
                <w:sz w:val="21"/>
                <w:szCs w:val="21"/>
                <w:lang w:val="en-US" w:eastAsia="zh-CN" w:bidi="ar"/>
              </w:rPr>
            </w:pPr>
            <w:r>
              <w:rPr>
                <w:rFonts w:hint="eastAsia" w:ascii="黑体" w:hAnsi="黑体" w:eastAsia="黑体" w:cs="黑体"/>
                <w:color w:val="231F20"/>
                <w:kern w:val="0"/>
                <w:sz w:val="21"/>
                <w:szCs w:val="21"/>
                <w:lang w:val="en-US" w:eastAsia="zh-CN" w:bidi="ar"/>
              </w:rPr>
              <w:t>材料及结构：由胶塞、塑料盖、试管、添加剂、涂层等组成。</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231F20"/>
                <w:kern w:val="0"/>
                <w:sz w:val="21"/>
                <w:szCs w:val="21"/>
                <w:lang w:val="en-US" w:eastAsia="zh-CN" w:bidi="ar"/>
              </w:rPr>
            </w:pPr>
            <w:r>
              <w:rPr>
                <w:rFonts w:hint="eastAsia" w:ascii="黑体" w:hAnsi="黑体" w:eastAsia="黑体" w:cs="黑体"/>
                <w:color w:val="231F20"/>
                <w:kern w:val="0"/>
                <w:sz w:val="21"/>
                <w:szCs w:val="21"/>
                <w:lang w:val="en-US" w:eastAsia="zh-CN" w:bidi="ar"/>
              </w:rPr>
              <w:t>规格：10ml</w:t>
            </w:r>
            <w:r>
              <w:rPr>
                <w:rFonts w:hint="eastAsia" w:ascii="黑体" w:hAnsi="黑体" w:eastAsia="黑体" w:cs="黑体"/>
                <w:color w:val="231F20"/>
                <w:kern w:val="0"/>
                <w:sz w:val="21"/>
                <w:szCs w:val="21"/>
                <w:lang w:val="en-US" w:eastAsia="zh-CN" w:bidi="ar"/>
              </w:rPr>
              <w:br w:type="textWrapping"/>
            </w:r>
            <w:r>
              <w:rPr>
                <w:rFonts w:hint="eastAsia" w:ascii="黑体" w:hAnsi="黑体" w:eastAsia="黑体" w:cs="黑体"/>
                <w:color w:val="231F20"/>
                <w:kern w:val="0"/>
                <w:sz w:val="21"/>
                <w:szCs w:val="21"/>
                <w:lang w:val="en-US" w:eastAsia="zh-CN" w:bidi="ar"/>
              </w:rPr>
              <w:t>3、所投产品需要对保存管的可承受离心力、耐压、抗冻等性能进行测试，并在产品说明书中注明。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231F20"/>
                <w:kern w:val="0"/>
                <w:sz w:val="21"/>
                <w:szCs w:val="21"/>
                <w:lang w:val="en-US" w:eastAsia="zh-CN" w:bidi="ar"/>
              </w:rPr>
            </w:pPr>
            <w:r>
              <w:rPr>
                <w:rFonts w:hint="eastAsia" w:ascii="黑体" w:hAnsi="黑体" w:eastAsia="黑体" w:cs="黑体"/>
                <w:color w:val="231F20"/>
                <w:kern w:val="0"/>
                <w:sz w:val="21"/>
                <w:szCs w:val="21"/>
                <w:lang w:val="en-US" w:eastAsia="zh-CN" w:bidi="ar"/>
              </w:rPr>
              <w:t>4、在预期的实验条件下，保存管应无断裂、塌陷、破裂或其他可见损坏。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231F20"/>
                <w:kern w:val="0"/>
                <w:sz w:val="21"/>
                <w:szCs w:val="21"/>
                <w:lang w:val="en-US" w:eastAsia="zh-CN" w:bidi="ar"/>
              </w:rPr>
            </w:pPr>
            <w:r>
              <w:rPr>
                <w:rFonts w:hint="eastAsia" w:ascii="黑体" w:hAnsi="黑体" w:eastAsia="黑体" w:cs="黑体"/>
                <w:color w:val="231F20"/>
                <w:kern w:val="0"/>
                <w:sz w:val="21"/>
                <w:szCs w:val="21"/>
                <w:lang w:val="en-US" w:eastAsia="zh-CN" w:bidi="ar"/>
              </w:rPr>
              <w:t>5、无菌状态:游离DNA保存管要求无菌。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231F20"/>
                <w:kern w:val="0"/>
                <w:sz w:val="21"/>
                <w:szCs w:val="21"/>
                <w:lang w:val="en-US" w:eastAsia="zh-CN" w:bidi="ar"/>
              </w:rPr>
            </w:pPr>
            <w:r>
              <w:rPr>
                <w:rFonts w:hint="eastAsia" w:ascii="黑体" w:hAnsi="黑体" w:eastAsia="黑体" w:cs="黑体"/>
                <w:color w:val="231F20"/>
                <w:kern w:val="0"/>
                <w:sz w:val="21"/>
                <w:szCs w:val="21"/>
                <w:lang w:val="en-US" w:eastAsia="zh-CN" w:bidi="ar"/>
              </w:rPr>
              <w:t>6、保存时间：游离DN保存管可有效保存血液中游离DNA至少4天。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231F20"/>
                <w:kern w:val="0"/>
                <w:sz w:val="21"/>
                <w:szCs w:val="21"/>
                <w:lang w:val="en-US" w:eastAsia="zh-CN" w:bidi="ar"/>
              </w:rPr>
            </w:pPr>
            <w:r>
              <w:rPr>
                <w:rFonts w:hint="eastAsia" w:ascii="黑体" w:hAnsi="黑体" w:eastAsia="黑体" w:cs="黑体"/>
                <w:color w:val="231F20"/>
                <w:kern w:val="0"/>
                <w:sz w:val="21"/>
                <w:szCs w:val="21"/>
                <w:lang w:val="en-US" w:eastAsia="zh-CN" w:bidi="ar"/>
              </w:rPr>
              <w:t>7、凝血和溶血要求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231F20"/>
                <w:kern w:val="0"/>
                <w:sz w:val="21"/>
                <w:szCs w:val="21"/>
                <w:lang w:val="en-US" w:eastAsia="zh-CN" w:bidi="ar"/>
              </w:rPr>
            </w:pPr>
            <w:r>
              <w:rPr>
                <w:rFonts w:hint="eastAsia" w:ascii="黑体" w:hAnsi="黑体" w:eastAsia="黑体" w:cs="黑体"/>
                <w:color w:val="231F20"/>
                <w:kern w:val="0"/>
                <w:sz w:val="21"/>
                <w:szCs w:val="21"/>
                <w:lang w:val="en-US" w:eastAsia="zh-CN" w:bidi="ar"/>
              </w:rPr>
              <w:t>7.1保存管采血后，充分混匀的样本中不应出现凝块。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231F20"/>
                <w:kern w:val="0"/>
                <w:sz w:val="21"/>
                <w:szCs w:val="21"/>
                <w:lang w:val="en-US" w:eastAsia="zh-CN" w:bidi="ar"/>
              </w:rPr>
            </w:pPr>
            <w:r>
              <w:rPr>
                <w:rFonts w:hint="eastAsia" w:ascii="黑体" w:hAnsi="黑体" w:eastAsia="黑体" w:cs="黑体"/>
                <w:color w:val="231F20"/>
                <w:kern w:val="0"/>
                <w:sz w:val="21"/>
                <w:szCs w:val="21"/>
                <w:lang w:val="en-US" w:eastAsia="zh-CN" w:bidi="ar"/>
              </w:rPr>
              <w:t>7.2 保存管采血后进行离心，血浆不应出现溶血现象。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231F20"/>
                <w:kern w:val="0"/>
                <w:sz w:val="21"/>
                <w:szCs w:val="21"/>
                <w:lang w:val="en-US" w:eastAsia="zh-CN" w:bidi="ar"/>
              </w:rPr>
            </w:pPr>
            <w:r>
              <w:rPr>
                <w:rFonts w:hint="eastAsia" w:ascii="黑体" w:hAnsi="黑体" w:eastAsia="黑体" w:cs="黑体"/>
                <w:color w:val="231F20"/>
                <w:kern w:val="0"/>
                <w:sz w:val="21"/>
                <w:szCs w:val="21"/>
                <w:lang w:val="en-US" w:eastAsia="zh-CN" w:bidi="ar"/>
              </w:rPr>
              <w:t>8、添加剂的体积应在规定体积的 90%-110%之间。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231F20"/>
                <w:kern w:val="0"/>
                <w:sz w:val="21"/>
                <w:szCs w:val="21"/>
                <w:lang w:val="en-US" w:eastAsia="zh-CN" w:bidi="ar"/>
              </w:rPr>
            </w:pPr>
            <w:r>
              <w:rPr>
                <w:rFonts w:hint="eastAsia" w:ascii="黑体" w:hAnsi="黑体" w:eastAsia="黑体" w:cs="黑体"/>
                <w:color w:val="231F20"/>
                <w:kern w:val="0"/>
                <w:sz w:val="21"/>
                <w:szCs w:val="21"/>
                <w:lang w:val="en-US" w:eastAsia="zh-CN" w:bidi="ar"/>
              </w:rPr>
              <w:t>9、储存条件：储存温度为4-37℃，采血后置于室温条件下保存。</w:t>
            </w:r>
          </w:p>
          <w:p>
            <w:pPr>
              <w:jc w:val="center"/>
              <w:rPr>
                <w:rFonts w:hint="eastAsia" w:ascii="黑体" w:hAnsi="黑体" w:eastAsia="黑体" w:cs="黑体"/>
                <w:sz w:val="21"/>
                <w:szCs w:val="21"/>
              </w:rPr>
            </w:pPr>
          </w:p>
        </w:tc>
        <w:tc>
          <w:tcPr>
            <w:tcW w:w="1104"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支</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4000</w:t>
            </w:r>
          </w:p>
        </w:tc>
      </w:tr>
    </w:tbl>
    <w:p>
      <w:pPr>
        <w:spacing w:before="75" w:line="309" w:lineRule="exact"/>
        <w:rPr>
          <w:rFonts w:hint="eastAsia" w:ascii="Times New Roman" w:hAnsi="Times New Roman" w:eastAsia="Times New Roman" w:cs="Times New Roman"/>
          <w:b/>
          <w:bCs/>
          <w:spacing w:val="-1"/>
          <w:position w:val="2"/>
          <w:sz w:val="23"/>
          <w:szCs w:val="23"/>
        </w:rPr>
      </w:pPr>
      <w:r>
        <w:rPr>
          <w:rFonts w:hint="eastAsia" w:ascii="Times New Roman" w:hAnsi="Times New Roman" w:eastAsia="Times New Roman" w:cs="Times New Roman"/>
          <w:b/>
          <w:bCs/>
          <w:spacing w:val="-1"/>
          <w:position w:val="2"/>
          <w:sz w:val="23"/>
          <w:szCs w:val="23"/>
        </w:rPr>
        <w:t>耗材采购需求</w:t>
      </w:r>
    </w:p>
    <w:p>
      <w:pPr>
        <w:spacing w:before="75" w:line="309" w:lineRule="exact"/>
        <w:rPr>
          <w:rFonts w:hint="eastAsia" w:ascii="Times New Roman" w:hAnsi="Times New Roman" w:eastAsia="Times New Roman" w:cs="Times New Roman"/>
          <w:b/>
          <w:bCs/>
          <w:spacing w:val="-1"/>
          <w:position w:val="2"/>
          <w:sz w:val="23"/>
          <w:szCs w:val="23"/>
        </w:rPr>
      </w:pPr>
      <w:r>
        <w:rPr>
          <w:rFonts w:hint="eastAsia" w:ascii="Times New Roman" w:hAnsi="Times New Roman" w:eastAsia="Times New Roman" w:cs="Times New Roman"/>
          <w:b/>
          <w:bCs/>
          <w:spacing w:val="-1"/>
          <w:position w:val="2"/>
          <w:sz w:val="23"/>
          <w:szCs w:val="23"/>
        </w:rPr>
        <w:t>1、按需分批采购；供货期≤5个日历日；具有24小时应急服务，特殊情况下需2小时送达。供货时，每批次货物必须有质检报告附后（国产产品），如不能提供，业主有权随时终止合同。</w:t>
      </w:r>
    </w:p>
    <w:p>
      <w:pPr>
        <w:spacing w:before="75" w:line="309" w:lineRule="exact"/>
        <w:rPr>
          <w:rFonts w:hint="eastAsia" w:ascii="Times New Roman" w:hAnsi="Times New Roman" w:eastAsia="Times New Roman" w:cs="Times New Roman"/>
          <w:b/>
          <w:bCs/>
          <w:spacing w:val="-1"/>
          <w:position w:val="2"/>
          <w:sz w:val="23"/>
          <w:szCs w:val="23"/>
        </w:rPr>
      </w:pPr>
      <w:r>
        <w:rPr>
          <w:rFonts w:hint="eastAsia" w:ascii="Times New Roman" w:hAnsi="Times New Roman" w:eastAsia="Times New Roman" w:cs="Times New Roman"/>
          <w:b/>
          <w:bCs/>
          <w:spacing w:val="-1"/>
          <w:position w:val="2"/>
          <w:sz w:val="23"/>
          <w:szCs w:val="23"/>
        </w:rPr>
        <w:t>2、本次采购数量为暂估量，具体采购数量由采购人按计划分批次进行采购，但原则上采购数量不超过本次采购数量。</w:t>
      </w:r>
    </w:p>
    <w:p>
      <w:pPr>
        <w:spacing w:before="75" w:line="309" w:lineRule="exact"/>
        <w:rPr>
          <w:rFonts w:hint="eastAsia" w:ascii="Times New Roman" w:hAnsi="Times New Roman" w:eastAsia="Times New Roman" w:cs="Times New Roman"/>
          <w:b/>
          <w:bCs/>
          <w:spacing w:val="-1"/>
          <w:position w:val="2"/>
          <w:sz w:val="23"/>
          <w:szCs w:val="23"/>
        </w:rPr>
      </w:pPr>
      <w:r>
        <w:rPr>
          <w:rFonts w:hint="eastAsia" w:ascii="Times New Roman" w:hAnsi="Times New Roman" w:eastAsia="Times New Roman" w:cs="Times New Roman"/>
          <w:b/>
          <w:bCs/>
          <w:spacing w:val="-1"/>
          <w:position w:val="2"/>
          <w:sz w:val="23"/>
          <w:szCs w:val="23"/>
        </w:rPr>
        <w:t>3、投标单位须具有医疗器械经营许可证或医疗器械生产许可证或医疗器械经营备案凭证</w:t>
      </w:r>
    </w:p>
    <w:p>
      <w:pPr>
        <w:spacing w:before="75" w:line="309" w:lineRule="exact"/>
        <w:rPr>
          <w:rFonts w:hint="eastAsia" w:ascii="Times New Roman" w:hAnsi="Times New Roman" w:eastAsia="Times New Roman" w:cs="Times New Roman"/>
          <w:b/>
          <w:bCs/>
          <w:spacing w:val="-1"/>
          <w:position w:val="2"/>
          <w:sz w:val="23"/>
          <w:szCs w:val="23"/>
        </w:rPr>
      </w:pPr>
      <w:r>
        <w:rPr>
          <w:rFonts w:hint="eastAsia" w:ascii="Times New Roman" w:hAnsi="Times New Roman" w:eastAsia="Times New Roman" w:cs="Times New Roman"/>
          <w:b/>
          <w:bCs/>
          <w:spacing w:val="-1"/>
          <w:position w:val="2"/>
          <w:sz w:val="23"/>
          <w:szCs w:val="23"/>
        </w:rPr>
        <w:t>4、如发现未实质性响应招标文件供货，则扣除3个月货款做为违约金，并终止合约；如在供货期内出现质量问题则立即终止合约，供应商承担相应的赔偿责任(具体在合同中约定）。</w:t>
      </w:r>
    </w:p>
    <w:p>
      <w:pPr>
        <w:spacing w:before="75" w:line="309" w:lineRule="exact"/>
        <w:rPr>
          <w:rFonts w:hint="eastAsia" w:ascii="Times New Roman" w:hAnsi="Times New Roman" w:eastAsia="Times New Roman" w:cs="Times New Roman"/>
          <w:b/>
          <w:bCs/>
          <w:spacing w:val="-1"/>
          <w:position w:val="2"/>
          <w:sz w:val="23"/>
          <w:szCs w:val="23"/>
        </w:rPr>
      </w:pPr>
      <w:r>
        <w:rPr>
          <w:rFonts w:hint="eastAsia" w:ascii="Times New Roman" w:hAnsi="Times New Roman" w:eastAsia="Times New Roman" w:cs="Times New Roman"/>
          <w:b/>
          <w:bCs/>
          <w:spacing w:val="-1"/>
          <w:position w:val="2"/>
          <w:sz w:val="23"/>
          <w:szCs w:val="23"/>
        </w:rPr>
        <w:t>5、产品有效期：不低于产品有效期的一半。（如产品有效期为1年，则到货产品剩余有效期不得低于半年）</w:t>
      </w:r>
    </w:p>
    <w:p>
      <w:pPr>
        <w:spacing w:before="75" w:line="309" w:lineRule="exact"/>
        <w:rPr>
          <w:rFonts w:hint="eastAsia" w:ascii="Times New Roman" w:hAnsi="Times New Roman" w:eastAsia="Times New Roman" w:cs="Times New Roman"/>
          <w:b/>
          <w:bCs/>
          <w:spacing w:val="-1"/>
          <w:position w:val="2"/>
          <w:sz w:val="23"/>
          <w:szCs w:val="23"/>
        </w:rPr>
      </w:pPr>
      <w:r>
        <w:rPr>
          <w:rFonts w:hint="eastAsia" w:ascii="Times New Roman" w:hAnsi="Times New Roman" w:eastAsia="Times New Roman" w:cs="Times New Roman"/>
          <w:b/>
          <w:bCs/>
          <w:spacing w:val="-1"/>
          <w:position w:val="2"/>
          <w:sz w:val="23"/>
          <w:szCs w:val="23"/>
        </w:rPr>
        <w:t>6、符合食药局检测相关要求，产品因产品本身质量问题或售后服务不当引起的医疗事故、医疗纠纷或其他原因造成贵院任何损失，中标单位全部承担事故处理及责任赔偿等相应的责任。</w:t>
      </w:r>
    </w:p>
    <w:p>
      <w:pPr>
        <w:spacing w:before="75" w:line="309" w:lineRule="exact"/>
        <w:ind w:left="506"/>
        <w:rPr>
          <w:rFonts w:hint="eastAsia" w:ascii="Times New Roman" w:hAnsi="Times New Roman" w:eastAsia="Times New Roman" w:cs="Times New Roman"/>
          <w:b/>
          <w:bCs/>
          <w:spacing w:val="-1"/>
          <w:position w:val="2"/>
          <w:sz w:val="23"/>
          <w:szCs w:val="23"/>
        </w:rPr>
      </w:pPr>
    </w:p>
    <w:p>
      <w:pPr>
        <w:spacing w:before="75" w:line="309" w:lineRule="exact"/>
        <w:ind w:left="506"/>
        <w:rPr>
          <w:rFonts w:ascii="Times New Roman" w:hAnsi="Times New Roman" w:eastAsia="Times New Roman" w:cs="Times New Roman"/>
          <w:b/>
          <w:bCs/>
          <w:spacing w:val="-1"/>
          <w:position w:val="2"/>
          <w:sz w:val="23"/>
          <w:szCs w:val="23"/>
        </w:rPr>
      </w:pPr>
      <w:r>
        <w:rPr>
          <w:rFonts w:hint="eastAsia" w:ascii="Times New Roman" w:hAnsi="Times New Roman" w:eastAsia="Times New Roman" w:cs="Times New Roman"/>
          <w:b/>
          <w:bCs/>
          <w:spacing w:val="-1"/>
          <w:position w:val="2"/>
          <w:sz w:val="23"/>
          <w:szCs w:val="23"/>
        </w:rPr>
        <w:t>付款方式：验收合格，三个月后按月还款。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6C993"/>
    <w:multiLevelType w:val="singleLevel"/>
    <w:tmpl w:val="D376C9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OGJjNTYxNjUyMTcxNDJiZDhhNDhiODU1ZGIxY2IifQ=="/>
  </w:docVars>
  <w:rsids>
    <w:rsidRoot w:val="00000000"/>
    <w:rsid w:val="453E7ED9"/>
    <w:rsid w:val="5D8A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rPr>
      <w:kern w:val="0"/>
      <w:sz w:val="20"/>
      <w:szCs w:val="20"/>
    </w:rPr>
  </w:style>
  <w:style w:type="paragraph" w:styleId="3">
    <w:name w:val="envelope return"/>
    <w:basedOn w:val="1"/>
    <w:qFormat/>
    <w:uiPriority w:val="0"/>
    <w:pPr>
      <w:snapToGrid w:val="0"/>
    </w:pPr>
    <w:rPr>
      <w:rFonts w:ascii="Arial" w:hAnsi="Arial"/>
    </w:rPr>
  </w:style>
  <w:style w:type="paragraph" w:styleId="4">
    <w:name w:val="Body Text First Indent 2"/>
    <w:basedOn w:val="2"/>
    <w:next w:val="1"/>
    <w:unhideWhenUsed/>
    <w:qFormat/>
    <w:uiPriority w:val="99"/>
    <w:pPr>
      <w:spacing w:after="120"/>
      <w:ind w:left="420" w:leftChars="200" w:firstLine="420" w:firstLineChars="200"/>
    </w:pPr>
    <w:rPr>
      <w:rFonts w:ascii="Times New Roman" w:hAnsi="Times New Roman"/>
      <w:color w:val="auto"/>
      <w:kern w:val="2"/>
      <w:sz w:val="21"/>
      <w:szCs w:val="21"/>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2025-05-23T03:28:00Z</dcterms:created>
  <dc:creator>Administrator</dc:creator>
  <cp:lastModifiedBy>弥月</cp:lastModifiedBy>
  <dcterms:modified xsi:type="dcterms:W3CDTF">2025-05-26T02:47:20Z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eyJoZGlkIjoiOWY2OTUwOWNkMzAwMTcyMmRiNThiNjVmNmQ2NTg1NDciLCJ1c2VySWQiOiIxMTc5MTMxOTYzIn0=</vt:lpwstr>
  </property>
  <property fmtid="{D5CDD505-2E9C-101B-9397-08002B2CF9AE}" pid="4" name="ICV">
    <vt:lpwstr>28FD59C1849C4BDAA98B1020FD868103_13</vt:lpwstr>
  </property>
</Properties>
</file>